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86FA" w14:textId="09F380DF" w:rsidR="00B42A69" w:rsidRPr="00AE18F6" w:rsidRDefault="00B42A69" w:rsidP="00B42A69">
      <w:pPr>
        <w:pStyle w:val="Default"/>
        <w:jc w:val="center"/>
        <w:rPr>
          <w:b/>
          <w:bCs/>
          <w:sz w:val="23"/>
          <w:szCs w:val="23"/>
          <w:lang w:val="pl-PL"/>
        </w:rPr>
      </w:pPr>
      <w:r w:rsidRPr="00AE18F6">
        <w:rPr>
          <w:b/>
          <w:bCs/>
          <w:sz w:val="23"/>
          <w:szCs w:val="23"/>
          <w:lang w:val="pl-PL"/>
        </w:rPr>
        <w:t>KLINIKA PRAWA TECHNOLOGII PRZYSZŁOŚ</w:t>
      </w:r>
      <w:r w:rsidR="00AE18F6" w:rsidRPr="00AE18F6">
        <w:rPr>
          <w:b/>
          <w:bCs/>
          <w:sz w:val="23"/>
          <w:szCs w:val="23"/>
          <w:lang w:val="pl-PL"/>
        </w:rPr>
        <w:t>C</w:t>
      </w:r>
      <w:r w:rsidRPr="00AE18F6">
        <w:rPr>
          <w:b/>
          <w:bCs/>
          <w:sz w:val="23"/>
          <w:szCs w:val="23"/>
          <w:lang w:val="pl-PL"/>
        </w:rPr>
        <w:t>I 2022</w:t>
      </w:r>
    </w:p>
    <w:p w14:paraId="457513F0" w14:textId="2BFC8B7D" w:rsidR="00B42A69" w:rsidRPr="00AE18F6" w:rsidRDefault="00B42A69" w:rsidP="00B42A69">
      <w:pPr>
        <w:jc w:val="center"/>
        <w:rPr>
          <w:rFonts w:ascii="Times New Roman" w:hAnsi="Times New Roman" w:cs="Times New Roman"/>
          <w:b/>
          <w:bCs/>
          <w:sz w:val="23"/>
          <w:szCs w:val="23"/>
          <w:lang w:val="pl-PL"/>
        </w:rPr>
      </w:pPr>
    </w:p>
    <w:p w14:paraId="378AC66A" w14:textId="77777777" w:rsidR="00B42A69" w:rsidRPr="00AE18F6" w:rsidRDefault="00B42A69" w:rsidP="00B42A69">
      <w:pPr>
        <w:rPr>
          <w:rFonts w:ascii="Times New Roman" w:hAnsi="Times New Roman" w:cs="Times New Roman"/>
          <w:b/>
          <w:u w:val="single"/>
          <w:lang w:val="pl-PL"/>
        </w:rPr>
      </w:pP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rFonts w:ascii="Times New Roman" w:hAnsi="Times New Roman" w:cs="Times New Roman"/>
          <w:b/>
          <w:u w:val="single"/>
          <w:lang w:val="pl-PL"/>
        </w:rPr>
        <w:t xml:space="preserve">POWÓD </w:t>
      </w:r>
    </w:p>
    <w:p w14:paraId="61EA9D62" w14:textId="77777777" w:rsidR="00B42A69" w:rsidRPr="00AE18F6" w:rsidRDefault="00B42A69" w:rsidP="00B42A69">
      <w:pPr>
        <w:rPr>
          <w:rFonts w:ascii="Times New Roman" w:hAnsi="Times New Roman" w:cs="Times New Roman"/>
          <w:b/>
          <w:lang w:val="pl-PL"/>
        </w:rPr>
      </w:pPr>
      <w:r w:rsidRPr="00AE18F6">
        <w:rPr>
          <w:rFonts w:ascii="Times New Roman" w:hAnsi="Times New Roman" w:cs="Times New Roman"/>
          <w:b/>
          <w:lang w:val="pl-PL"/>
        </w:rPr>
        <w:t>P. Hor</w:t>
      </w:r>
      <w:r w:rsidR="00F64CF0" w:rsidRPr="00AE18F6">
        <w:rPr>
          <w:rFonts w:ascii="Times New Roman" w:hAnsi="Times New Roman" w:cs="Times New Roman"/>
          <w:b/>
          <w:lang w:val="pl-PL"/>
        </w:rPr>
        <w:t>acy</w:t>
      </w:r>
      <w:r w:rsidRPr="00AE18F6">
        <w:rPr>
          <w:rFonts w:ascii="Times New Roman" w:hAnsi="Times New Roman" w:cs="Times New Roman"/>
          <w:b/>
          <w:lang w:val="pl-PL"/>
        </w:rPr>
        <w:t xml:space="preserve"> Munk</w:t>
      </w:r>
    </w:p>
    <w:p w14:paraId="00A4A062" w14:textId="5A4DF9A9" w:rsidR="00B42A69" w:rsidRPr="00AE18F6" w:rsidRDefault="00895D8F" w:rsidP="00B42A69">
      <w:pPr>
        <w:rPr>
          <w:rFonts w:ascii="Times New Roman" w:hAnsi="Times New Roman" w:cs="Times New Roman"/>
          <w:b/>
          <w:lang w:val="pl-PL"/>
        </w:rPr>
      </w:pPr>
      <w:r w:rsidRPr="00AE18F6">
        <w:rPr>
          <w:rFonts w:ascii="Times New Roman" w:hAnsi="Times New Roman" w:cs="Times New Roman"/>
          <w:b/>
          <w:lang w:val="pl-PL"/>
        </w:rPr>
        <w:t>ul. Prawnicza</w:t>
      </w:r>
      <w:r w:rsidR="00B42A69" w:rsidRPr="00AE18F6">
        <w:rPr>
          <w:rFonts w:ascii="Times New Roman" w:hAnsi="Times New Roman" w:cs="Times New Roman"/>
          <w:b/>
          <w:lang w:val="pl-PL"/>
        </w:rPr>
        <w:t xml:space="preserve"> 1</w:t>
      </w:r>
    </w:p>
    <w:p w14:paraId="46A972AB" w14:textId="222155E4" w:rsidR="00B42A69" w:rsidRPr="00AE18F6" w:rsidRDefault="00895D8F" w:rsidP="00B42A69">
      <w:pPr>
        <w:rPr>
          <w:rFonts w:ascii="Times New Roman" w:hAnsi="Times New Roman" w:cs="Times New Roman"/>
          <w:b/>
          <w:lang w:val="pl-PL"/>
        </w:rPr>
      </w:pPr>
      <w:r w:rsidRPr="00AE18F6">
        <w:rPr>
          <w:rFonts w:ascii="Times New Roman" w:hAnsi="Times New Roman" w:cs="Times New Roman"/>
          <w:b/>
          <w:lang w:val="pl-PL"/>
        </w:rPr>
        <w:t>Łódź</w:t>
      </w:r>
    </w:p>
    <w:p w14:paraId="6DA0E442" w14:textId="77777777" w:rsidR="00B42A69" w:rsidRPr="00AE18F6" w:rsidRDefault="00B42A69" w:rsidP="00B42A69">
      <w:pPr>
        <w:rPr>
          <w:rFonts w:ascii="Times New Roman" w:hAnsi="Times New Roman" w:cs="Times New Roman"/>
          <w:b/>
          <w:lang w:val="pl-PL"/>
        </w:rPr>
      </w:pPr>
      <w:r w:rsidRPr="00AE18F6">
        <w:rPr>
          <w:rFonts w:ascii="Times New Roman" w:hAnsi="Times New Roman" w:cs="Times New Roman"/>
          <w:b/>
          <w:lang w:val="pl-PL"/>
        </w:rPr>
        <w:t>Poland</w:t>
      </w:r>
    </w:p>
    <w:p w14:paraId="5061B0FC" w14:textId="77777777" w:rsidR="00B42A69" w:rsidRPr="00AE18F6" w:rsidRDefault="00B42A69" w:rsidP="00B42A69">
      <w:pPr>
        <w:rPr>
          <w:rFonts w:ascii="Times New Roman" w:hAnsi="Times New Roman" w:cs="Times New Roman"/>
          <w:b/>
          <w:lang w:val="pl-PL"/>
        </w:rPr>
      </w:pPr>
    </w:p>
    <w:p w14:paraId="4ECF9ADF" w14:textId="77777777" w:rsidR="00B42A69" w:rsidRPr="00AE18F6" w:rsidRDefault="00B42A69" w:rsidP="00B42A69">
      <w:pPr>
        <w:rPr>
          <w:rFonts w:ascii="Times New Roman" w:hAnsi="Times New Roman" w:cs="Times New Roman"/>
          <w:b/>
          <w:lang w:val="pl-PL"/>
        </w:rPr>
      </w:pPr>
      <w:r w:rsidRPr="00AE18F6">
        <w:rPr>
          <w:rFonts w:ascii="Times New Roman" w:hAnsi="Times New Roman" w:cs="Times New Roman"/>
          <w:b/>
          <w:lang w:val="pl-PL"/>
        </w:rPr>
        <w:t>----------------------------------------------</w:t>
      </w:r>
    </w:p>
    <w:p w14:paraId="0D75495D" w14:textId="77777777" w:rsidR="00B42A69" w:rsidRPr="00AE18F6" w:rsidRDefault="00B42A69" w:rsidP="00B42A69">
      <w:pPr>
        <w:jc w:val="center"/>
        <w:rPr>
          <w:rFonts w:ascii="Times New Roman" w:hAnsi="Times New Roman" w:cs="Times New Roman"/>
          <w:lang w:val="pl-PL"/>
        </w:rPr>
      </w:pPr>
    </w:p>
    <w:p w14:paraId="678C1AEC" w14:textId="77777777" w:rsidR="00B42A69" w:rsidRPr="00AE18F6" w:rsidRDefault="00B42A69" w:rsidP="00B42A69">
      <w:pPr>
        <w:rPr>
          <w:rFonts w:ascii="Times New Roman" w:hAnsi="Times New Roman" w:cs="Times New Roman"/>
          <w:b/>
          <w:u w:val="single"/>
          <w:lang w:val="pl-PL"/>
        </w:rPr>
      </w:pPr>
      <w:r w:rsidRPr="00AE18F6">
        <w:rPr>
          <w:rFonts w:ascii="Times New Roman" w:hAnsi="Times New Roman" w:cs="Times New Roman"/>
          <w:b/>
          <w:u w:val="single"/>
          <w:lang w:val="pl-PL"/>
        </w:rPr>
        <w:t>POZWANY</w:t>
      </w:r>
    </w:p>
    <w:p w14:paraId="04F1BB09" w14:textId="4EEB0D47" w:rsidR="00B42A69" w:rsidRPr="00AE18F6" w:rsidRDefault="00F64CF0" w:rsidP="00B42A69">
      <w:pPr>
        <w:rPr>
          <w:rFonts w:ascii="Times New Roman" w:hAnsi="Times New Roman" w:cs="Times New Roman"/>
          <w:b/>
          <w:lang w:val="pl-PL"/>
        </w:rPr>
      </w:pPr>
      <w:r w:rsidRPr="00AE18F6">
        <w:rPr>
          <w:rFonts w:ascii="Times New Roman" w:hAnsi="Times New Roman" w:cs="Times New Roman"/>
          <w:b/>
          <w:lang w:val="pl-PL"/>
        </w:rPr>
        <w:t xml:space="preserve">The Star Maker </w:t>
      </w:r>
      <w:proofErr w:type="spellStart"/>
      <w:r w:rsidRPr="00AE18F6">
        <w:rPr>
          <w:rFonts w:ascii="Times New Roman" w:hAnsi="Times New Roman" w:cs="Times New Roman"/>
          <w:b/>
          <w:lang w:val="pl-PL"/>
        </w:rPr>
        <w:t>Insurance</w:t>
      </w:r>
      <w:proofErr w:type="spellEnd"/>
      <w:r w:rsidRPr="00AE18F6">
        <w:rPr>
          <w:rFonts w:ascii="Times New Roman" w:hAnsi="Times New Roman" w:cs="Times New Roman"/>
          <w:b/>
          <w:lang w:val="pl-PL"/>
        </w:rPr>
        <w:br/>
      </w:r>
      <w:r w:rsidR="00895D8F" w:rsidRPr="00AE18F6">
        <w:rPr>
          <w:rFonts w:ascii="Times New Roman" w:hAnsi="Times New Roman" w:cs="Times New Roman"/>
          <w:b/>
          <w:lang w:val="pl-PL"/>
        </w:rPr>
        <w:t>ul. Ubezpieczeniowa</w:t>
      </w:r>
      <w:r w:rsidR="00B42A69" w:rsidRPr="00AE18F6">
        <w:rPr>
          <w:rFonts w:ascii="Times New Roman" w:hAnsi="Times New Roman" w:cs="Times New Roman"/>
          <w:b/>
          <w:lang w:val="pl-PL"/>
        </w:rPr>
        <w:t xml:space="preserve"> 33</w:t>
      </w:r>
    </w:p>
    <w:p w14:paraId="48A0FFF1" w14:textId="158BF540" w:rsidR="00B42A69" w:rsidRPr="00AE18F6" w:rsidRDefault="00895D8F" w:rsidP="00B42A69">
      <w:pPr>
        <w:rPr>
          <w:rFonts w:ascii="Times New Roman" w:hAnsi="Times New Roman" w:cs="Times New Roman"/>
          <w:b/>
          <w:lang w:val="pl-PL"/>
        </w:rPr>
      </w:pPr>
      <w:r w:rsidRPr="00AE18F6">
        <w:rPr>
          <w:rFonts w:ascii="Times New Roman" w:hAnsi="Times New Roman" w:cs="Times New Roman"/>
          <w:b/>
          <w:lang w:val="pl-PL"/>
        </w:rPr>
        <w:t>Łódź</w:t>
      </w:r>
    </w:p>
    <w:p w14:paraId="638798D1" w14:textId="77777777" w:rsidR="00B42A69" w:rsidRPr="00AE18F6" w:rsidRDefault="00B42A69" w:rsidP="00B42A69">
      <w:pPr>
        <w:rPr>
          <w:rFonts w:ascii="Times New Roman" w:hAnsi="Times New Roman" w:cs="Times New Roman"/>
          <w:b/>
          <w:lang w:val="pl-PL"/>
        </w:rPr>
      </w:pPr>
      <w:r w:rsidRPr="00AE18F6">
        <w:rPr>
          <w:rFonts w:ascii="Times New Roman" w:hAnsi="Times New Roman" w:cs="Times New Roman"/>
          <w:b/>
          <w:lang w:val="pl-PL"/>
        </w:rPr>
        <w:t>Poland</w:t>
      </w:r>
    </w:p>
    <w:p w14:paraId="311DE9B0" w14:textId="3F8E5086" w:rsidR="005B715C" w:rsidRPr="00AE18F6" w:rsidRDefault="00051780" w:rsidP="00895D8F">
      <w:pPr>
        <w:pStyle w:val="Default"/>
        <w:rPr>
          <w:b/>
          <w:bCs/>
          <w:sz w:val="20"/>
          <w:szCs w:val="20"/>
          <w:lang w:val="pl-PL"/>
        </w:rPr>
      </w:pP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Pr="00AE18F6">
        <w:rPr>
          <w:lang w:val="pl-PL"/>
        </w:rPr>
        <w:br/>
      </w:r>
      <w:r w:rsidR="0074393E" w:rsidRPr="00AE18F6">
        <w:rPr>
          <w:lang w:val="pl-PL"/>
        </w:rPr>
        <w:br/>
      </w:r>
      <w:r w:rsidR="0074393E" w:rsidRPr="00AE18F6">
        <w:rPr>
          <w:lang w:val="pl-PL"/>
        </w:rPr>
        <w:lastRenderedPageBreak/>
        <w:br/>
      </w:r>
      <w:r w:rsidR="005B715C" w:rsidRPr="00AE18F6">
        <w:rPr>
          <w:color w:val="auto"/>
          <w:sz w:val="23"/>
          <w:szCs w:val="23"/>
          <w:lang w:val="pl-PL"/>
        </w:rPr>
        <w:t>SPIS TREŚCI</w:t>
      </w:r>
    </w:p>
    <w:sdt>
      <w:sdtPr>
        <w:rPr>
          <w:rFonts w:asciiTheme="minorHAnsi" w:eastAsiaTheme="minorHAnsi" w:hAnsiTheme="minorHAnsi" w:cstheme="minorBidi"/>
          <w:b w:val="0"/>
          <w:szCs w:val="24"/>
          <w:lang w:val="pl-PL"/>
        </w:rPr>
        <w:id w:val="-1027101889"/>
        <w:docPartObj>
          <w:docPartGallery w:val="Table of Contents"/>
          <w:docPartUnique/>
        </w:docPartObj>
      </w:sdtPr>
      <w:sdtEndPr>
        <w:rPr>
          <w:bCs/>
        </w:rPr>
      </w:sdtEndPr>
      <w:sdtContent>
        <w:p w14:paraId="639ACB4B" w14:textId="3C82234F" w:rsidR="005B715C" w:rsidRPr="00AE18F6" w:rsidRDefault="005B715C" w:rsidP="005B715C">
          <w:pPr>
            <w:pStyle w:val="Nagwekspisutreci"/>
            <w:rPr>
              <w:lang w:val="pl-PL"/>
            </w:rPr>
          </w:pPr>
        </w:p>
        <w:p w14:paraId="1A3CAFE8" w14:textId="70C2A950" w:rsidR="00396D5B" w:rsidRPr="00AE18F6" w:rsidRDefault="00FD44B2" w:rsidP="00396D5B">
          <w:pPr>
            <w:pStyle w:val="Spistreci1"/>
            <w:rPr>
              <w:rFonts w:eastAsiaTheme="minorEastAsia"/>
              <w:lang w:val="pl-PL" w:eastAsia="pl-PL"/>
            </w:rPr>
          </w:pPr>
          <w:r w:rsidRPr="00AE18F6">
            <w:rPr>
              <w:rFonts w:ascii="Times New Roman" w:hAnsi="Times New Roman" w:cs="Times New Roman"/>
              <w:lang w:val="pl-PL"/>
            </w:rPr>
            <w:fldChar w:fldCharType="begin"/>
          </w:r>
          <w:r w:rsidR="005B715C" w:rsidRPr="00AE18F6">
            <w:rPr>
              <w:rFonts w:ascii="Times New Roman" w:hAnsi="Times New Roman" w:cs="Times New Roman"/>
              <w:lang w:val="pl-PL"/>
            </w:rPr>
            <w:instrText xml:space="preserve"> TOC \o "1-3" \h \z \u </w:instrText>
          </w:r>
          <w:r w:rsidRPr="00AE18F6">
            <w:rPr>
              <w:rFonts w:ascii="Times New Roman" w:hAnsi="Times New Roman" w:cs="Times New Roman"/>
              <w:lang w:val="pl-PL"/>
            </w:rPr>
            <w:fldChar w:fldCharType="separate"/>
          </w:r>
          <w:hyperlink w:anchor="_Toc94131769" w:history="1">
            <w:r w:rsidR="00396D5B" w:rsidRPr="00AE18F6">
              <w:rPr>
                <w:rStyle w:val="Hipercze"/>
                <w:lang w:val="pl-PL"/>
              </w:rPr>
              <w:t>STAN FAKTYCZNY</w:t>
            </w:r>
            <w:r w:rsidR="00396D5B" w:rsidRPr="00AE18F6">
              <w:rPr>
                <w:webHidden/>
                <w:lang w:val="pl-PL"/>
              </w:rPr>
              <w:tab/>
            </w:r>
            <w:r w:rsidR="00396D5B" w:rsidRPr="00AE18F6">
              <w:rPr>
                <w:webHidden/>
                <w:lang w:val="pl-PL"/>
              </w:rPr>
              <w:fldChar w:fldCharType="begin"/>
            </w:r>
            <w:r w:rsidR="00396D5B" w:rsidRPr="00AE18F6">
              <w:rPr>
                <w:webHidden/>
                <w:lang w:val="pl-PL"/>
              </w:rPr>
              <w:instrText xml:space="preserve"> PAGEREF _Toc94131769 \h </w:instrText>
            </w:r>
            <w:r w:rsidR="00396D5B" w:rsidRPr="00AE18F6">
              <w:rPr>
                <w:webHidden/>
                <w:lang w:val="pl-PL"/>
              </w:rPr>
            </w:r>
            <w:r w:rsidR="00396D5B" w:rsidRPr="00AE18F6">
              <w:rPr>
                <w:webHidden/>
                <w:lang w:val="pl-PL"/>
              </w:rPr>
              <w:fldChar w:fldCharType="separate"/>
            </w:r>
            <w:r w:rsidR="00396D5B" w:rsidRPr="00AE18F6">
              <w:rPr>
                <w:webHidden/>
                <w:lang w:val="pl-PL"/>
              </w:rPr>
              <w:t>2</w:t>
            </w:r>
            <w:r w:rsidR="00396D5B" w:rsidRPr="00AE18F6">
              <w:rPr>
                <w:webHidden/>
                <w:lang w:val="pl-PL"/>
              </w:rPr>
              <w:fldChar w:fldCharType="end"/>
            </w:r>
          </w:hyperlink>
        </w:p>
        <w:p w14:paraId="25351C38" w14:textId="44E7FC69" w:rsidR="00396D5B" w:rsidRPr="00AE18F6" w:rsidRDefault="00DF7043" w:rsidP="00396D5B">
          <w:pPr>
            <w:pStyle w:val="Spistreci1"/>
            <w:rPr>
              <w:rFonts w:eastAsiaTheme="minorEastAsia"/>
              <w:lang w:val="pl-PL" w:eastAsia="pl-PL"/>
            </w:rPr>
          </w:pPr>
          <w:hyperlink w:anchor="_Toc94131770" w:history="1">
            <w:r w:rsidR="00396D5B" w:rsidRPr="00AE18F6">
              <w:rPr>
                <w:rStyle w:val="Hipercze"/>
                <w:lang w:val="pl-PL"/>
              </w:rPr>
              <w:t>SPÓR</w:t>
            </w:r>
            <w:r w:rsidR="00396D5B" w:rsidRPr="00AE18F6">
              <w:rPr>
                <w:webHidden/>
                <w:lang w:val="pl-PL"/>
              </w:rPr>
              <w:tab/>
            </w:r>
            <w:r w:rsidR="00396D5B" w:rsidRPr="00AE18F6">
              <w:rPr>
                <w:webHidden/>
                <w:lang w:val="pl-PL"/>
              </w:rPr>
              <w:fldChar w:fldCharType="begin"/>
            </w:r>
            <w:r w:rsidR="00396D5B" w:rsidRPr="00AE18F6">
              <w:rPr>
                <w:webHidden/>
                <w:lang w:val="pl-PL"/>
              </w:rPr>
              <w:instrText xml:space="preserve"> PAGEREF _Toc94131770 \h </w:instrText>
            </w:r>
            <w:r w:rsidR="00396D5B" w:rsidRPr="00AE18F6">
              <w:rPr>
                <w:webHidden/>
                <w:lang w:val="pl-PL"/>
              </w:rPr>
            </w:r>
            <w:r w:rsidR="00396D5B" w:rsidRPr="00AE18F6">
              <w:rPr>
                <w:webHidden/>
                <w:lang w:val="pl-PL"/>
              </w:rPr>
              <w:fldChar w:fldCharType="separate"/>
            </w:r>
            <w:r w:rsidR="00396D5B" w:rsidRPr="00AE18F6">
              <w:rPr>
                <w:webHidden/>
                <w:lang w:val="pl-PL"/>
              </w:rPr>
              <w:t>4</w:t>
            </w:r>
            <w:r w:rsidR="00396D5B" w:rsidRPr="00AE18F6">
              <w:rPr>
                <w:webHidden/>
                <w:lang w:val="pl-PL"/>
              </w:rPr>
              <w:fldChar w:fldCharType="end"/>
            </w:r>
          </w:hyperlink>
        </w:p>
        <w:p w14:paraId="01884805" w14:textId="7C2814F1" w:rsidR="00396D5B" w:rsidRPr="00AE18F6" w:rsidRDefault="00DF7043" w:rsidP="00396D5B">
          <w:pPr>
            <w:pStyle w:val="Spistreci1"/>
            <w:rPr>
              <w:rFonts w:eastAsiaTheme="minorEastAsia"/>
              <w:lang w:val="pl-PL" w:eastAsia="pl-PL"/>
            </w:rPr>
          </w:pPr>
          <w:hyperlink w:anchor="_Toc94131771" w:history="1">
            <w:r w:rsidR="00396D5B" w:rsidRPr="00AE18F6">
              <w:rPr>
                <w:rStyle w:val="Hipercze"/>
                <w:rFonts w:ascii="Times New Roman" w:hAnsi="Times New Roman" w:cs="Times New Roman"/>
                <w:lang w:val="pl-PL"/>
              </w:rPr>
              <w:t>ORZECZENIE SĄDU</w:t>
            </w:r>
            <w:r w:rsidR="00396D5B" w:rsidRPr="00AE18F6">
              <w:rPr>
                <w:webHidden/>
                <w:lang w:val="pl-PL"/>
              </w:rPr>
              <w:tab/>
            </w:r>
            <w:r w:rsidR="00396D5B" w:rsidRPr="00AE18F6">
              <w:rPr>
                <w:webHidden/>
                <w:lang w:val="pl-PL"/>
              </w:rPr>
              <w:fldChar w:fldCharType="begin"/>
            </w:r>
            <w:r w:rsidR="00396D5B" w:rsidRPr="00AE18F6">
              <w:rPr>
                <w:webHidden/>
                <w:lang w:val="pl-PL"/>
              </w:rPr>
              <w:instrText xml:space="preserve"> PAGEREF _Toc94131771 \h </w:instrText>
            </w:r>
            <w:r w:rsidR="00396D5B" w:rsidRPr="00AE18F6">
              <w:rPr>
                <w:webHidden/>
                <w:lang w:val="pl-PL"/>
              </w:rPr>
            </w:r>
            <w:r w:rsidR="00396D5B" w:rsidRPr="00AE18F6">
              <w:rPr>
                <w:webHidden/>
                <w:lang w:val="pl-PL"/>
              </w:rPr>
              <w:fldChar w:fldCharType="separate"/>
            </w:r>
            <w:r w:rsidR="00396D5B" w:rsidRPr="00AE18F6">
              <w:rPr>
                <w:webHidden/>
                <w:lang w:val="pl-PL"/>
              </w:rPr>
              <w:t>5</w:t>
            </w:r>
            <w:r w:rsidR="00396D5B" w:rsidRPr="00AE18F6">
              <w:rPr>
                <w:webHidden/>
                <w:lang w:val="pl-PL"/>
              </w:rPr>
              <w:fldChar w:fldCharType="end"/>
            </w:r>
          </w:hyperlink>
        </w:p>
        <w:p w14:paraId="6A6B8439" w14:textId="643F99B7" w:rsidR="00C86668" w:rsidRPr="00AE18F6" w:rsidRDefault="00FD44B2" w:rsidP="005B715C">
          <w:pPr>
            <w:rPr>
              <w:bCs/>
              <w:lang w:val="pl-PL"/>
            </w:rPr>
          </w:pPr>
          <w:r w:rsidRPr="00AE18F6">
            <w:rPr>
              <w:rFonts w:ascii="Times New Roman" w:hAnsi="Times New Roman" w:cs="Times New Roman"/>
              <w:b/>
              <w:bCs/>
              <w:lang w:val="pl-PL"/>
            </w:rPr>
            <w:fldChar w:fldCharType="end"/>
          </w:r>
        </w:p>
      </w:sdtContent>
    </w:sdt>
    <w:p w14:paraId="0C3E6425" w14:textId="0F2A2E2F" w:rsidR="0074393E" w:rsidRPr="00AE18F6" w:rsidRDefault="0074393E" w:rsidP="0074393E">
      <w:pPr>
        <w:pStyle w:val="Nagwek1"/>
        <w:rPr>
          <w:lang w:val="pl-PL"/>
        </w:rPr>
      </w:pPr>
      <w:bookmarkStart w:id="0" w:name="_Toc94131769"/>
      <w:r w:rsidRPr="00AE18F6">
        <w:rPr>
          <w:lang w:val="pl-PL"/>
        </w:rPr>
        <w:t>STAN FAKTYCZNY</w:t>
      </w:r>
      <w:bookmarkEnd w:id="0"/>
      <w:r w:rsidRPr="00AE18F6">
        <w:rPr>
          <w:lang w:val="pl-PL"/>
        </w:rPr>
        <w:t xml:space="preserve"> </w:t>
      </w:r>
    </w:p>
    <w:p w14:paraId="5094983D" w14:textId="2948DC73" w:rsidR="0074393E" w:rsidRPr="00AE18F6" w:rsidRDefault="0074393E" w:rsidP="0074393E">
      <w:pPr>
        <w:spacing w:line="360" w:lineRule="auto"/>
        <w:jc w:val="both"/>
        <w:rPr>
          <w:rFonts w:ascii="Times New Roman" w:hAnsi="Times New Roman" w:cs="Times New Roman"/>
          <w:lang w:val="pl-PL"/>
        </w:rPr>
      </w:pPr>
      <w:r w:rsidRPr="00AE18F6">
        <w:rPr>
          <w:lang w:val="pl-PL"/>
        </w:rPr>
        <w:br/>
      </w:r>
      <w:r w:rsidRPr="00AE18F6">
        <w:rPr>
          <w:rFonts w:ascii="Times New Roman" w:hAnsi="Times New Roman" w:cs="Times New Roman"/>
          <w:lang w:val="pl-PL"/>
        </w:rPr>
        <w:t xml:space="preserve">Niniejsze postępowanie zostało wszczęte przez Pana Horacego Munka, obywatela polskiego zamieszkałego w </w:t>
      </w:r>
      <w:r w:rsidR="00895D8F" w:rsidRPr="00AE18F6">
        <w:rPr>
          <w:rFonts w:ascii="Times New Roman" w:hAnsi="Times New Roman" w:cs="Times New Roman"/>
          <w:lang w:val="pl-PL"/>
        </w:rPr>
        <w:t>Łodzi</w:t>
      </w:r>
      <w:r w:rsidRPr="00AE18F6">
        <w:rPr>
          <w:rFonts w:ascii="Times New Roman" w:hAnsi="Times New Roman" w:cs="Times New Roman"/>
          <w:lang w:val="pl-PL"/>
        </w:rPr>
        <w:t xml:space="preserve"> (zwanego dalej "POWODEM") przeciwko The Star Maker</w:t>
      </w:r>
      <w:r w:rsidR="00F64CF0" w:rsidRPr="00AE18F6">
        <w:rPr>
          <w:rFonts w:ascii="Times New Roman" w:hAnsi="Times New Roman" w:cs="Times New Roman"/>
          <w:lang w:val="pl-PL"/>
        </w:rPr>
        <w:t xml:space="preserve"> </w:t>
      </w:r>
      <w:proofErr w:type="spellStart"/>
      <w:r w:rsidR="00F64CF0" w:rsidRPr="00AE18F6">
        <w:rPr>
          <w:rFonts w:ascii="Times New Roman" w:hAnsi="Times New Roman" w:cs="Times New Roman"/>
          <w:lang w:val="pl-PL"/>
        </w:rPr>
        <w:t>Insurance</w:t>
      </w:r>
      <w:proofErr w:type="spellEnd"/>
      <w:r w:rsidRPr="00AE18F6">
        <w:rPr>
          <w:rFonts w:ascii="Times New Roman" w:hAnsi="Times New Roman" w:cs="Times New Roman"/>
          <w:lang w:val="pl-PL"/>
        </w:rPr>
        <w:t xml:space="preserve">, brytyjskiemu towarzystwu ubezpieczeniowemu z siedzibą w Londynie (zwanemu dalej "POZWANYM"), działającemu w Polsce jako zagraniczny ubezpieczyciel zarejestrowany w polskim Urzędzie Nadzoru Finansowego. Zgodnie z początkowymi oświadczeniami stron skierowanymi do Sądu, następujące fakty należy uznać za bezsporne między stronami. </w:t>
      </w:r>
    </w:p>
    <w:p w14:paraId="6FA129DC" w14:textId="74554828" w:rsidR="00AA1A73" w:rsidRPr="00AE18F6" w:rsidRDefault="0074393E" w:rsidP="00AA1A73">
      <w:pPr>
        <w:spacing w:line="360" w:lineRule="auto"/>
        <w:jc w:val="both"/>
        <w:rPr>
          <w:rFonts w:ascii="Times New Roman" w:hAnsi="Times New Roman" w:cs="Times New Roman"/>
          <w:lang w:val="pl-PL"/>
        </w:rPr>
      </w:pPr>
      <w:r w:rsidRPr="00AE18F6">
        <w:rPr>
          <w:rFonts w:ascii="Times New Roman" w:hAnsi="Times New Roman" w:cs="Times New Roman"/>
          <w:sz w:val="23"/>
          <w:szCs w:val="23"/>
          <w:lang w:val="pl-PL"/>
        </w:rPr>
        <w:br/>
      </w:r>
      <w:r w:rsidR="00AA1A73" w:rsidRPr="00AE18F6">
        <w:rPr>
          <w:rFonts w:ascii="Times New Roman" w:hAnsi="Times New Roman" w:cs="Times New Roman"/>
          <w:lang w:val="pl-PL"/>
        </w:rPr>
        <w:t xml:space="preserve">W grudniu 2019 roku Horacy Munk, wówczas student II roku ekonomii na Uniwersytecie </w:t>
      </w:r>
      <w:r w:rsidR="00895D8F" w:rsidRPr="00AE18F6">
        <w:rPr>
          <w:rFonts w:ascii="Times New Roman" w:hAnsi="Times New Roman" w:cs="Times New Roman"/>
          <w:lang w:val="pl-PL"/>
        </w:rPr>
        <w:t>Łódzkim</w:t>
      </w:r>
      <w:r w:rsidR="00AA1A73" w:rsidRPr="00AE18F6">
        <w:rPr>
          <w:rFonts w:ascii="Times New Roman" w:hAnsi="Times New Roman" w:cs="Times New Roman"/>
          <w:lang w:val="pl-PL"/>
        </w:rPr>
        <w:t xml:space="preserve">, pilnie potrzebował ochrony ubezpieczeniowej na zbliżający się noworoczny wyjazd na narty w Alpy Francuskie. Korzystając ze swojego </w:t>
      </w:r>
      <w:proofErr w:type="spellStart"/>
      <w:r w:rsidR="00AA1A73" w:rsidRPr="00AE18F6">
        <w:rPr>
          <w:rFonts w:ascii="Times New Roman" w:hAnsi="Times New Roman" w:cs="Times New Roman"/>
          <w:lang w:val="pl-PL"/>
        </w:rPr>
        <w:t>smartfona</w:t>
      </w:r>
      <w:proofErr w:type="spellEnd"/>
      <w:r w:rsidR="00AA1A73" w:rsidRPr="00AE18F6">
        <w:rPr>
          <w:rFonts w:ascii="Times New Roman" w:hAnsi="Times New Roman" w:cs="Times New Roman"/>
          <w:lang w:val="pl-PL"/>
        </w:rPr>
        <w:t xml:space="preserve">, Horacy </w:t>
      </w:r>
      <w:r w:rsidR="00AE18F6">
        <w:rPr>
          <w:rFonts w:ascii="Times New Roman" w:hAnsi="Times New Roman" w:cs="Times New Roman"/>
          <w:lang w:val="pl-PL"/>
        </w:rPr>
        <w:t>wszedł na stronę www</w:t>
      </w:r>
      <w:r w:rsidR="00AA1A73" w:rsidRPr="00AE18F6">
        <w:rPr>
          <w:rFonts w:ascii="Times New Roman" w:hAnsi="Times New Roman" w:cs="Times New Roman"/>
          <w:lang w:val="pl-PL"/>
        </w:rPr>
        <w:t xml:space="preserve"> pierwsz</w:t>
      </w:r>
      <w:r w:rsidR="00AE18F6">
        <w:rPr>
          <w:rFonts w:ascii="Times New Roman" w:hAnsi="Times New Roman" w:cs="Times New Roman"/>
          <w:lang w:val="pl-PL"/>
        </w:rPr>
        <w:t>ej</w:t>
      </w:r>
      <w:r w:rsidR="00AA1A73" w:rsidRPr="00AE18F6">
        <w:rPr>
          <w:rFonts w:ascii="Times New Roman" w:hAnsi="Times New Roman" w:cs="Times New Roman"/>
          <w:lang w:val="pl-PL"/>
        </w:rPr>
        <w:t xml:space="preserve"> podpowiedzian</w:t>
      </w:r>
      <w:r w:rsidR="00AE18F6">
        <w:rPr>
          <w:rFonts w:ascii="Times New Roman" w:hAnsi="Times New Roman" w:cs="Times New Roman"/>
          <w:lang w:val="pl-PL"/>
        </w:rPr>
        <w:t>ej</w:t>
      </w:r>
      <w:r w:rsidR="00AA1A73" w:rsidRPr="00AE18F6">
        <w:rPr>
          <w:rFonts w:ascii="Times New Roman" w:hAnsi="Times New Roman" w:cs="Times New Roman"/>
          <w:lang w:val="pl-PL"/>
        </w:rPr>
        <w:t xml:space="preserve"> przez Google porównywark</w:t>
      </w:r>
      <w:r w:rsidR="00AE18F6">
        <w:rPr>
          <w:rFonts w:ascii="Times New Roman" w:hAnsi="Times New Roman" w:cs="Times New Roman"/>
          <w:lang w:val="pl-PL"/>
        </w:rPr>
        <w:t>i</w:t>
      </w:r>
      <w:r w:rsidR="00AA1A73" w:rsidRPr="00AE18F6">
        <w:rPr>
          <w:rFonts w:ascii="Times New Roman" w:hAnsi="Times New Roman" w:cs="Times New Roman"/>
          <w:lang w:val="pl-PL"/>
        </w:rPr>
        <w:t xml:space="preserve"> ubezpieczeń o nazwie </w:t>
      </w:r>
      <w:r w:rsidR="00895D8F" w:rsidRPr="00AE18F6">
        <w:rPr>
          <w:rFonts w:ascii="Times New Roman" w:hAnsi="Times New Roman" w:cs="Times New Roman"/>
          <w:lang w:val="pl-PL"/>
        </w:rPr>
        <w:t>„</w:t>
      </w:r>
      <w:proofErr w:type="spellStart"/>
      <w:r w:rsidR="00AA1A73" w:rsidRPr="00AE18F6">
        <w:rPr>
          <w:rFonts w:ascii="Times New Roman" w:hAnsi="Times New Roman" w:cs="Times New Roman"/>
          <w:lang w:val="pl-PL"/>
        </w:rPr>
        <w:t>yourbestinsurance</w:t>
      </w:r>
      <w:proofErr w:type="spellEnd"/>
      <w:r w:rsidR="00895D8F" w:rsidRPr="00AE18F6">
        <w:rPr>
          <w:rFonts w:ascii="Times New Roman" w:hAnsi="Times New Roman" w:cs="Times New Roman"/>
          <w:lang w:val="pl-PL"/>
        </w:rPr>
        <w:t>”</w:t>
      </w:r>
      <w:r w:rsidR="00AA1A73" w:rsidRPr="00AE18F6">
        <w:rPr>
          <w:rFonts w:ascii="Times New Roman" w:hAnsi="Times New Roman" w:cs="Times New Roman"/>
          <w:lang w:val="pl-PL"/>
        </w:rPr>
        <w:t>. Poprzez hiperłącze na tej porównywarce Hora</w:t>
      </w:r>
      <w:r w:rsidR="00051780" w:rsidRPr="00AE18F6">
        <w:rPr>
          <w:rFonts w:ascii="Times New Roman" w:hAnsi="Times New Roman" w:cs="Times New Roman"/>
          <w:lang w:val="pl-PL"/>
        </w:rPr>
        <w:t>cy</w:t>
      </w:r>
      <w:r w:rsidR="00AA1A73" w:rsidRPr="00AE18F6">
        <w:rPr>
          <w:rFonts w:ascii="Times New Roman" w:hAnsi="Times New Roman" w:cs="Times New Roman"/>
          <w:lang w:val="pl-PL"/>
        </w:rPr>
        <w:t xml:space="preserve"> został przekierowany do aplikacji </w:t>
      </w:r>
      <w:r w:rsidR="00895D8F" w:rsidRPr="00AE18F6">
        <w:rPr>
          <w:rFonts w:ascii="Times New Roman" w:hAnsi="Times New Roman" w:cs="Times New Roman"/>
          <w:lang w:val="pl-PL"/>
        </w:rPr>
        <w:t>„</w:t>
      </w:r>
      <w:r w:rsidR="00483F1C" w:rsidRPr="00AE18F6">
        <w:rPr>
          <w:rFonts w:ascii="Times New Roman" w:hAnsi="Times New Roman" w:cs="Times New Roman"/>
          <w:lang w:val="pl-PL"/>
        </w:rPr>
        <w:t>T</w:t>
      </w:r>
      <w:r w:rsidR="00AA1A73" w:rsidRPr="00AE18F6">
        <w:rPr>
          <w:rFonts w:ascii="Times New Roman" w:hAnsi="Times New Roman" w:cs="Times New Roman"/>
          <w:lang w:val="pl-PL"/>
        </w:rPr>
        <w:t>he Star Mak</w:t>
      </w:r>
      <w:r w:rsidR="00051780" w:rsidRPr="00AE18F6">
        <w:rPr>
          <w:rFonts w:ascii="Times New Roman" w:hAnsi="Times New Roman" w:cs="Times New Roman"/>
          <w:lang w:val="pl-PL"/>
        </w:rPr>
        <w:t>er</w:t>
      </w:r>
      <w:r w:rsidR="00483F1C" w:rsidRPr="00AE18F6">
        <w:rPr>
          <w:rFonts w:ascii="Times New Roman" w:hAnsi="Times New Roman" w:cs="Times New Roman"/>
          <w:lang w:val="pl-PL"/>
        </w:rPr>
        <w:t xml:space="preserve"> </w:t>
      </w:r>
      <w:proofErr w:type="spellStart"/>
      <w:r w:rsidR="00483F1C" w:rsidRPr="00AE18F6">
        <w:rPr>
          <w:rFonts w:ascii="Times New Roman" w:hAnsi="Times New Roman" w:cs="Times New Roman"/>
          <w:lang w:val="pl-PL"/>
        </w:rPr>
        <w:t>Insurance</w:t>
      </w:r>
      <w:proofErr w:type="spellEnd"/>
      <w:r w:rsidR="00895D8F" w:rsidRPr="00AE18F6">
        <w:rPr>
          <w:rFonts w:ascii="Times New Roman" w:hAnsi="Times New Roman" w:cs="Times New Roman"/>
          <w:lang w:val="pl-PL"/>
        </w:rPr>
        <w:t>”</w:t>
      </w:r>
      <w:r w:rsidR="00AA1A73" w:rsidRPr="00AE18F6">
        <w:rPr>
          <w:rFonts w:ascii="Times New Roman" w:hAnsi="Times New Roman" w:cs="Times New Roman"/>
          <w:lang w:val="pl-PL"/>
        </w:rPr>
        <w:t>, którą natychmiast pobrał na swój smartfon. Po pobraniu aplikacji Hora</w:t>
      </w:r>
      <w:r w:rsidR="00051780" w:rsidRPr="00AE18F6">
        <w:rPr>
          <w:rFonts w:ascii="Times New Roman" w:hAnsi="Times New Roman" w:cs="Times New Roman"/>
          <w:lang w:val="pl-PL"/>
        </w:rPr>
        <w:t>cy</w:t>
      </w:r>
      <w:r w:rsidR="00AA1A73" w:rsidRPr="00AE18F6">
        <w:rPr>
          <w:rFonts w:ascii="Times New Roman" w:hAnsi="Times New Roman" w:cs="Times New Roman"/>
          <w:lang w:val="pl-PL"/>
        </w:rPr>
        <w:t xml:space="preserve"> wybrał opcję </w:t>
      </w:r>
      <w:r w:rsidR="00895D8F" w:rsidRPr="00AE18F6">
        <w:rPr>
          <w:rFonts w:ascii="Times New Roman" w:hAnsi="Times New Roman" w:cs="Times New Roman"/>
          <w:lang w:val="pl-PL"/>
        </w:rPr>
        <w:t>„</w:t>
      </w:r>
      <w:r w:rsidR="00AA1A73" w:rsidRPr="00AE18F6">
        <w:rPr>
          <w:rFonts w:ascii="Times New Roman" w:hAnsi="Times New Roman" w:cs="Times New Roman"/>
          <w:lang w:val="pl-PL"/>
        </w:rPr>
        <w:t>zaloguj się za pomocą Facebooka</w:t>
      </w:r>
      <w:r w:rsidR="00895D8F" w:rsidRPr="00AE18F6">
        <w:rPr>
          <w:rFonts w:ascii="Times New Roman" w:hAnsi="Times New Roman" w:cs="Times New Roman"/>
          <w:lang w:val="pl-PL"/>
        </w:rPr>
        <w:t>”</w:t>
      </w:r>
      <w:r w:rsidR="00AA1A73" w:rsidRPr="00AE18F6">
        <w:rPr>
          <w:rFonts w:ascii="Times New Roman" w:hAnsi="Times New Roman" w:cs="Times New Roman"/>
          <w:lang w:val="pl-PL"/>
        </w:rPr>
        <w:t>. Wyraził zgodę na udostępnienie wszystkich swoich d</w:t>
      </w:r>
      <w:r w:rsidR="006D6A13" w:rsidRPr="00AE18F6">
        <w:rPr>
          <w:rFonts w:ascii="Times New Roman" w:hAnsi="Times New Roman" w:cs="Times New Roman"/>
          <w:lang w:val="pl-PL"/>
        </w:rPr>
        <w:t>anych aplikacji ubezpieczyciela, po czym aplikacja poprosiła go o podanie numeru PESEL (osobistego numeru identyfikacyjnego), daty i miejsca urodzenia oraz miejsca zamieszkania.</w:t>
      </w:r>
      <w:r w:rsidR="00AA1A73" w:rsidRPr="00AE18F6">
        <w:rPr>
          <w:rFonts w:ascii="Times New Roman" w:hAnsi="Times New Roman" w:cs="Times New Roman"/>
          <w:lang w:val="pl-PL"/>
        </w:rPr>
        <w:t xml:space="preserve"> Po podaniu danych dotyczących potrzebnej mu ochrony ubezpieczeniowej (rodzaj aktywności, czas itp.) Hora</w:t>
      </w:r>
      <w:r w:rsidR="00051780" w:rsidRPr="00AE18F6">
        <w:rPr>
          <w:rFonts w:ascii="Times New Roman" w:hAnsi="Times New Roman" w:cs="Times New Roman"/>
          <w:lang w:val="pl-PL"/>
        </w:rPr>
        <w:t>cy</w:t>
      </w:r>
      <w:r w:rsidR="00AA1A73" w:rsidRPr="00AE18F6">
        <w:rPr>
          <w:rFonts w:ascii="Times New Roman" w:hAnsi="Times New Roman" w:cs="Times New Roman"/>
          <w:lang w:val="pl-PL"/>
        </w:rPr>
        <w:t xml:space="preserve"> skorzystał z opcji aplikacji </w:t>
      </w:r>
      <w:r w:rsidR="00F23D80" w:rsidRPr="00AE18F6">
        <w:rPr>
          <w:rFonts w:ascii="Times New Roman" w:hAnsi="Times New Roman" w:cs="Times New Roman"/>
          <w:lang w:val="pl-PL"/>
        </w:rPr>
        <w:t>„</w:t>
      </w:r>
      <w:r w:rsidR="00AA1A73" w:rsidRPr="00AE18F6">
        <w:rPr>
          <w:rFonts w:ascii="Times New Roman" w:hAnsi="Times New Roman" w:cs="Times New Roman"/>
          <w:lang w:val="pl-PL"/>
        </w:rPr>
        <w:t>Porozmawiaj z nami na żywo!</w:t>
      </w:r>
      <w:r w:rsidR="00F23D80" w:rsidRPr="00AE18F6">
        <w:rPr>
          <w:rFonts w:ascii="Times New Roman" w:hAnsi="Times New Roman" w:cs="Times New Roman"/>
          <w:lang w:val="pl-PL"/>
        </w:rPr>
        <w:t>”</w:t>
      </w:r>
      <w:r w:rsidR="00AA1A73" w:rsidRPr="00AE18F6">
        <w:rPr>
          <w:rFonts w:ascii="Times New Roman" w:hAnsi="Times New Roman" w:cs="Times New Roman"/>
          <w:lang w:val="pl-PL"/>
        </w:rPr>
        <w:t xml:space="preserve">. Przyjazny </w:t>
      </w:r>
      <w:proofErr w:type="spellStart"/>
      <w:r w:rsidR="00AA1A73" w:rsidRPr="00AE18F6">
        <w:rPr>
          <w:rFonts w:ascii="Times New Roman" w:hAnsi="Times New Roman" w:cs="Times New Roman"/>
          <w:lang w:val="pl-PL"/>
        </w:rPr>
        <w:t>chatbot</w:t>
      </w:r>
      <w:proofErr w:type="spellEnd"/>
      <w:r w:rsidR="00AA1A73" w:rsidRPr="00AE18F6">
        <w:rPr>
          <w:rFonts w:ascii="Times New Roman" w:hAnsi="Times New Roman" w:cs="Times New Roman"/>
          <w:lang w:val="pl-PL"/>
        </w:rPr>
        <w:t xml:space="preserve"> Paulo zarekomendował zakup polisy </w:t>
      </w:r>
      <w:r w:rsidR="00051780" w:rsidRPr="00AE18F6">
        <w:rPr>
          <w:rFonts w:ascii="Times New Roman" w:hAnsi="Times New Roman" w:cs="Times New Roman"/>
          <w:lang w:val="pl-PL"/>
        </w:rPr>
        <w:t>„Kompleksowy pakiet narciarski dla studentów”</w:t>
      </w:r>
      <w:r w:rsidR="00AA1A73" w:rsidRPr="00AE18F6">
        <w:rPr>
          <w:rFonts w:ascii="Times New Roman" w:hAnsi="Times New Roman" w:cs="Times New Roman"/>
          <w:lang w:val="pl-PL"/>
        </w:rPr>
        <w:t>, ekskluzywnego produktu dla studentów takich jak Hora</w:t>
      </w:r>
      <w:r w:rsidR="00051780" w:rsidRPr="00AE18F6">
        <w:rPr>
          <w:rFonts w:ascii="Times New Roman" w:hAnsi="Times New Roman" w:cs="Times New Roman"/>
          <w:lang w:val="pl-PL"/>
        </w:rPr>
        <w:t>cy</w:t>
      </w:r>
      <w:r w:rsidR="00AA1A73" w:rsidRPr="00AE18F6">
        <w:rPr>
          <w:rFonts w:ascii="Times New Roman" w:hAnsi="Times New Roman" w:cs="Times New Roman"/>
          <w:lang w:val="pl-PL"/>
        </w:rPr>
        <w:t>, który zawierał trzy elementy: ubezpieczenie OC, ubezpieczenie kosztów leczenia, ubezpieczenie NNW. Hora</w:t>
      </w:r>
      <w:r w:rsidR="00051780" w:rsidRPr="00AE18F6">
        <w:rPr>
          <w:rFonts w:ascii="Times New Roman" w:hAnsi="Times New Roman" w:cs="Times New Roman"/>
          <w:lang w:val="pl-PL"/>
        </w:rPr>
        <w:t>cy</w:t>
      </w:r>
      <w:r w:rsidR="00AA1A73" w:rsidRPr="00AE18F6">
        <w:rPr>
          <w:rFonts w:ascii="Times New Roman" w:hAnsi="Times New Roman" w:cs="Times New Roman"/>
          <w:lang w:val="pl-PL"/>
        </w:rPr>
        <w:t xml:space="preserve">, zachwycony szybkością transakcji, kliknął </w:t>
      </w:r>
      <w:r w:rsidR="00F23D80" w:rsidRPr="00AE18F6">
        <w:rPr>
          <w:rFonts w:ascii="Times New Roman" w:hAnsi="Times New Roman" w:cs="Times New Roman"/>
          <w:lang w:val="pl-PL"/>
        </w:rPr>
        <w:t>„</w:t>
      </w:r>
      <w:r w:rsidR="00AA1A73" w:rsidRPr="00AE18F6">
        <w:rPr>
          <w:rFonts w:ascii="Times New Roman" w:hAnsi="Times New Roman" w:cs="Times New Roman"/>
          <w:lang w:val="pl-PL"/>
        </w:rPr>
        <w:t>Tak. Zgadzam się</w:t>
      </w:r>
      <w:r w:rsidR="00F23D80" w:rsidRPr="00AE18F6">
        <w:rPr>
          <w:rFonts w:ascii="Times New Roman" w:hAnsi="Times New Roman" w:cs="Times New Roman"/>
          <w:lang w:val="pl-PL"/>
        </w:rPr>
        <w:t>”</w:t>
      </w:r>
      <w:r w:rsidR="00AA1A73" w:rsidRPr="00AE18F6">
        <w:rPr>
          <w:rFonts w:ascii="Times New Roman" w:hAnsi="Times New Roman" w:cs="Times New Roman"/>
          <w:lang w:val="pl-PL"/>
        </w:rPr>
        <w:t xml:space="preserve"> na pierwszą propozycję przedstawioną przez sympatycznego Paulo. </w:t>
      </w:r>
    </w:p>
    <w:p w14:paraId="79774119" w14:textId="4E1264A1" w:rsidR="00F23D80" w:rsidRPr="00AE18F6" w:rsidRDefault="008B44E5" w:rsidP="00F23D80">
      <w:pPr>
        <w:spacing w:line="360" w:lineRule="auto"/>
        <w:jc w:val="both"/>
        <w:rPr>
          <w:rFonts w:ascii="Times New Roman" w:hAnsi="Times New Roman" w:cs="Times New Roman"/>
          <w:lang w:val="pl-PL"/>
        </w:rPr>
      </w:pPr>
      <w:r w:rsidRPr="00AE18F6">
        <w:rPr>
          <w:rFonts w:ascii="Times New Roman" w:hAnsi="Times New Roman" w:cs="Times New Roman"/>
          <w:sz w:val="23"/>
          <w:szCs w:val="23"/>
          <w:lang w:val="pl-PL"/>
        </w:rPr>
        <w:br/>
      </w:r>
      <w:r w:rsidR="00826F01" w:rsidRPr="00AE18F6">
        <w:rPr>
          <w:rFonts w:ascii="Times New Roman" w:hAnsi="Times New Roman" w:cs="Times New Roman"/>
          <w:lang w:val="pl-PL"/>
        </w:rPr>
        <w:t xml:space="preserve">Nieznana Horacemu firma Star Maker </w:t>
      </w:r>
      <w:proofErr w:type="spellStart"/>
      <w:r w:rsidR="00826F01" w:rsidRPr="00AE18F6">
        <w:rPr>
          <w:rFonts w:ascii="Times New Roman" w:hAnsi="Times New Roman" w:cs="Times New Roman"/>
          <w:lang w:val="pl-PL"/>
        </w:rPr>
        <w:t>Insurance</w:t>
      </w:r>
      <w:proofErr w:type="spellEnd"/>
      <w:r w:rsidR="00826F01" w:rsidRPr="00AE18F6">
        <w:rPr>
          <w:rFonts w:ascii="Times New Roman" w:hAnsi="Times New Roman" w:cs="Times New Roman"/>
          <w:lang w:val="pl-PL"/>
        </w:rPr>
        <w:t xml:space="preserve"> wykorzystała jego kod pocztowy do </w:t>
      </w:r>
      <w:r w:rsidR="00AE18F6">
        <w:rPr>
          <w:rFonts w:ascii="Times New Roman" w:hAnsi="Times New Roman" w:cs="Times New Roman"/>
          <w:lang w:val="pl-PL"/>
        </w:rPr>
        <w:t xml:space="preserve">oceny </w:t>
      </w:r>
      <w:r w:rsidR="00826F01" w:rsidRPr="00AE18F6">
        <w:rPr>
          <w:rFonts w:ascii="Times New Roman" w:hAnsi="Times New Roman" w:cs="Times New Roman"/>
          <w:lang w:val="pl-PL"/>
        </w:rPr>
        <w:lastRenderedPageBreak/>
        <w:t>ryzyka, jakie potencjalnie stanowił Horacy</w:t>
      </w:r>
      <w:r w:rsidR="00AE18F6">
        <w:rPr>
          <w:rFonts w:ascii="Times New Roman" w:hAnsi="Times New Roman" w:cs="Times New Roman"/>
          <w:lang w:val="pl-PL"/>
        </w:rPr>
        <w:t>. Z uwagi na to, że</w:t>
      </w:r>
      <w:r w:rsidR="00826F01" w:rsidRPr="00AE18F6">
        <w:rPr>
          <w:rFonts w:ascii="Times New Roman" w:hAnsi="Times New Roman" w:cs="Times New Roman"/>
          <w:lang w:val="pl-PL"/>
        </w:rPr>
        <w:t xml:space="preserve"> oficjalnie mieszkał w ubogiej dzielnicy, w której mieszkańcy mają wysoki wskaźnik zaległości kredytowych, </w:t>
      </w:r>
      <w:r w:rsidR="009168F3" w:rsidRPr="00AE18F6">
        <w:rPr>
          <w:rFonts w:ascii="Times New Roman" w:hAnsi="Times New Roman" w:cs="Times New Roman"/>
          <w:lang w:val="pl-PL"/>
        </w:rPr>
        <w:t xml:space="preserve">uczący się maszynowo </w:t>
      </w:r>
      <w:r w:rsidR="00826F01" w:rsidRPr="00AE18F6">
        <w:rPr>
          <w:rFonts w:ascii="Times New Roman" w:hAnsi="Times New Roman" w:cs="Times New Roman"/>
          <w:lang w:val="pl-PL"/>
        </w:rPr>
        <w:t xml:space="preserve">algorytm wdrożony przez Star Maker </w:t>
      </w:r>
      <w:proofErr w:type="spellStart"/>
      <w:r w:rsidR="00826F01" w:rsidRPr="00AE18F6">
        <w:rPr>
          <w:rFonts w:ascii="Times New Roman" w:hAnsi="Times New Roman" w:cs="Times New Roman"/>
          <w:lang w:val="pl-PL"/>
        </w:rPr>
        <w:t>Insurance</w:t>
      </w:r>
      <w:proofErr w:type="spellEnd"/>
      <w:r w:rsidR="00826F01" w:rsidRPr="00AE18F6">
        <w:rPr>
          <w:rFonts w:ascii="Times New Roman" w:hAnsi="Times New Roman" w:cs="Times New Roman"/>
          <w:lang w:val="pl-PL"/>
        </w:rPr>
        <w:t xml:space="preserve"> zaklasyfikował go jako klienta </w:t>
      </w:r>
      <w:r w:rsidR="00F23D80" w:rsidRPr="00AE18F6">
        <w:rPr>
          <w:rFonts w:ascii="Times New Roman" w:hAnsi="Times New Roman" w:cs="Times New Roman"/>
          <w:lang w:val="pl-PL"/>
        </w:rPr>
        <w:t>„</w:t>
      </w:r>
      <w:r w:rsidR="00826F01" w:rsidRPr="00AE18F6">
        <w:rPr>
          <w:rFonts w:ascii="Times New Roman" w:hAnsi="Times New Roman" w:cs="Times New Roman"/>
          <w:lang w:val="pl-PL"/>
        </w:rPr>
        <w:t>wysokiego ryzyka niewypłacalności</w:t>
      </w:r>
      <w:r w:rsidR="00F23D80" w:rsidRPr="00AE18F6">
        <w:rPr>
          <w:rFonts w:ascii="Times New Roman" w:hAnsi="Times New Roman" w:cs="Times New Roman"/>
          <w:lang w:val="pl-PL"/>
        </w:rPr>
        <w:t>”</w:t>
      </w:r>
      <w:r w:rsidR="00826F01" w:rsidRPr="00AE18F6">
        <w:rPr>
          <w:rFonts w:ascii="Times New Roman" w:hAnsi="Times New Roman" w:cs="Times New Roman"/>
          <w:lang w:val="pl-PL"/>
        </w:rPr>
        <w:t xml:space="preserve">, co automatycznie podwoiło składkę ubezpieczeniową. Biorąc pod uwagę jego młody wiek i udokumentowane osiągnięcia sportowe (sugerowane przez dane uzyskane z Facebooka), algorytm zaproponował jako ofertę domyślną polisę </w:t>
      </w:r>
      <w:r w:rsidR="00F23D80" w:rsidRPr="00AE18F6">
        <w:rPr>
          <w:rFonts w:ascii="Times New Roman" w:hAnsi="Times New Roman" w:cs="Times New Roman"/>
          <w:lang w:val="pl-PL"/>
        </w:rPr>
        <w:t>„</w:t>
      </w:r>
      <w:r w:rsidR="00826F01" w:rsidRPr="00AE18F6">
        <w:rPr>
          <w:rFonts w:ascii="Times New Roman" w:hAnsi="Times New Roman" w:cs="Times New Roman"/>
          <w:lang w:val="pl-PL"/>
        </w:rPr>
        <w:t>podstawową</w:t>
      </w:r>
      <w:r w:rsidR="00F23D80" w:rsidRPr="00AE18F6">
        <w:rPr>
          <w:rFonts w:ascii="Times New Roman" w:hAnsi="Times New Roman" w:cs="Times New Roman"/>
          <w:lang w:val="pl-PL"/>
        </w:rPr>
        <w:t>”</w:t>
      </w:r>
      <w:r w:rsidR="00826F01" w:rsidRPr="00AE18F6">
        <w:rPr>
          <w:rFonts w:ascii="Times New Roman" w:hAnsi="Times New Roman" w:cs="Times New Roman"/>
          <w:lang w:val="pl-PL"/>
        </w:rPr>
        <w:t xml:space="preserve">, z wszystkimi </w:t>
      </w:r>
      <w:proofErr w:type="spellStart"/>
      <w:r w:rsidR="00826F01" w:rsidRPr="00AE18F6">
        <w:rPr>
          <w:rFonts w:ascii="Times New Roman" w:hAnsi="Times New Roman" w:cs="Times New Roman"/>
          <w:lang w:val="pl-PL"/>
        </w:rPr>
        <w:t>wyłączeniami</w:t>
      </w:r>
      <w:proofErr w:type="spellEnd"/>
      <w:r w:rsidR="00826F01" w:rsidRPr="00AE18F6">
        <w:rPr>
          <w:rFonts w:ascii="Times New Roman" w:hAnsi="Times New Roman" w:cs="Times New Roman"/>
          <w:lang w:val="pl-PL"/>
        </w:rPr>
        <w:t>, uzasadniając to tym, że przyszłe roszczenia, a w konsekwencji wypłaty dla tej klasy klientów, są bardzo mało prawdopodobne (</w:t>
      </w:r>
      <w:r w:rsidR="00F23D80" w:rsidRPr="00AE18F6">
        <w:rPr>
          <w:rFonts w:ascii="Times New Roman" w:hAnsi="Times New Roman" w:cs="Times New Roman"/>
          <w:lang w:val="pl-PL"/>
        </w:rPr>
        <w:t>„</w:t>
      </w:r>
      <w:r w:rsidR="00826F01" w:rsidRPr="00AE18F6">
        <w:rPr>
          <w:rFonts w:ascii="Times New Roman" w:hAnsi="Times New Roman" w:cs="Times New Roman"/>
          <w:lang w:val="pl-PL"/>
        </w:rPr>
        <w:t xml:space="preserve">młodzi </w:t>
      </w:r>
      <w:r w:rsidR="00F23D80" w:rsidRPr="00AE18F6">
        <w:rPr>
          <w:rFonts w:ascii="Times New Roman" w:hAnsi="Times New Roman" w:cs="Times New Roman"/>
          <w:lang w:val="pl-PL"/>
        </w:rPr>
        <w:t>mężczyźni</w:t>
      </w:r>
      <w:r w:rsidR="00826F01" w:rsidRPr="00AE18F6">
        <w:rPr>
          <w:rFonts w:ascii="Times New Roman" w:hAnsi="Times New Roman" w:cs="Times New Roman"/>
          <w:lang w:val="pl-PL"/>
        </w:rPr>
        <w:t xml:space="preserve"> sportowcy</w:t>
      </w:r>
      <w:r w:rsidR="00F23D80" w:rsidRPr="00AE18F6">
        <w:rPr>
          <w:rFonts w:ascii="Times New Roman" w:hAnsi="Times New Roman" w:cs="Times New Roman"/>
          <w:lang w:val="pl-PL"/>
        </w:rPr>
        <w:t>,</w:t>
      </w:r>
      <w:r w:rsidR="00826F01" w:rsidRPr="00AE18F6">
        <w:rPr>
          <w:rFonts w:ascii="Times New Roman" w:hAnsi="Times New Roman" w:cs="Times New Roman"/>
          <w:lang w:val="pl-PL"/>
        </w:rPr>
        <w:t xml:space="preserve"> rzadko kontuzj</w:t>
      </w:r>
      <w:r w:rsidR="00F23D80" w:rsidRPr="00AE18F6">
        <w:rPr>
          <w:rFonts w:ascii="Times New Roman" w:hAnsi="Times New Roman" w:cs="Times New Roman"/>
          <w:lang w:val="pl-PL"/>
        </w:rPr>
        <w:t>owani</w:t>
      </w:r>
      <w:r w:rsidR="00826F01" w:rsidRPr="00AE18F6">
        <w:rPr>
          <w:rFonts w:ascii="Times New Roman" w:hAnsi="Times New Roman" w:cs="Times New Roman"/>
          <w:lang w:val="pl-PL"/>
        </w:rPr>
        <w:t xml:space="preserve">, </w:t>
      </w:r>
      <w:r w:rsidR="00F23D80" w:rsidRPr="00AE18F6">
        <w:rPr>
          <w:rFonts w:ascii="Times New Roman" w:hAnsi="Times New Roman" w:cs="Times New Roman"/>
          <w:lang w:val="pl-PL"/>
        </w:rPr>
        <w:t>niewystarczająco kompetentni</w:t>
      </w:r>
      <w:r w:rsidR="00826F01" w:rsidRPr="00AE18F6">
        <w:rPr>
          <w:rFonts w:ascii="Times New Roman" w:hAnsi="Times New Roman" w:cs="Times New Roman"/>
          <w:lang w:val="pl-PL"/>
        </w:rPr>
        <w:t>, by pozywać ubezpieczycieli</w:t>
      </w:r>
      <w:r w:rsidR="00F23D80" w:rsidRPr="00AE18F6">
        <w:rPr>
          <w:rFonts w:ascii="Times New Roman" w:hAnsi="Times New Roman" w:cs="Times New Roman"/>
          <w:lang w:val="pl-PL"/>
        </w:rPr>
        <w:t>”</w:t>
      </w:r>
      <w:r w:rsidR="00826F01" w:rsidRPr="00AE18F6">
        <w:rPr>
          <w:rFonts w:ascii="Times New Roman" w:hAnsi="Times New Roman" w:cs="Times New Roman"/>
          <w:lang w:val="pl-PL"/>
        </w:rPr>
        <w:t>).</w:t>
      </w:r>
      <w:r w:rsidR="00067582" w:rsidRPr="00AE18F6">
        <w:rPr>
          <w:rFonts w:ascii="Times New Roman" w:hAnsi="Times New Roman" w:cs="Times New Roman"/>
          <w:lang w:val="pl-PL"/>
        </w:rPr>
        <w:br/>
      </w:r>
      <w:r w:rsidR="00067582" w:rsidRPr="00AE18F6">
        <w:rPr>
          <w:rFonts w:ascii="Times New Roman" w:hAnsi="Times New Roman" w:cs="Times New Roman"/>
          <w:lang w:val="pl-PL"/>
        </w:rPr>
        <w:br/>
        <w:t xml:space="preserve">Godzinę później otrzymał e-mailem dwa dokumenty PDF: </w:t>
      </w:r>
      <w:r w:rsidR="00F23D80" w:rsidRPr="00AE18F6">
        <w:rPr>
          <w:rFonts w:ascii="Times New Roman" w:hAnsi="Times New Roman" w:cs="Times New Roman"/>
          <w:lang w:val="pl-PL"/>
        </w:rPr>
        <w:t>„</w:t>
      </w:r>
      <w:r w:rsidR="00067582" w:rsidRPr="00AE18F6">
        <w:rPr>
          <w:rFonts w:ascii="Times New Roman" w:hAnsi="Times New Roman" w:cs="Times New Roman"/>
          <w:lang w:val="pl-PL"/>
        </w:rPr>
        <w:t>polisę ubezpieczeniową</w:t>
      </w:r>
      <w:r w:rsidR="00F23D80" w:rsidRPr="00AE18F6">
        <w:rPr>
          <w:rFonts w:ascii="Times New Roman" w:hAnsi="Times New Roman" w:cs="Times New Roman"/>
          <w:lang w:val="pl-PL"/>
        </w:rPr>
        <w:t>”</w:t>
      </w:r>
      <w:r w:rsidR="00067582" w:rsidRPr="00AE18F6">
        <w:rPr>
          <w:rFonts w:ascii="Times New Roman" w:hAnsi="Times New Roman" w:cs="Times New Roman"/>
          <w:lang w:val="pl-PL"/>
        </w:rPr>
        <w:t xml:space="preserve"> oraz </w:t>
      </w:r>
      <w:r w:rsidR="00F23D80" w:rsidRPr="00AE18F6">
        <w:rPr>
          <w:rFonts w:ascii="Times New Roman" w:hAnsi="Times New Roman" w:cs="Times New Roman"/>
          <w:lang w:val="pl-PL"/>
        </w:rPr>
        <w:t>„</w:t>
      </w:r>
      <w:r w:rsidR="00067582" w:rsidRPr="00AE18F6">
        <w:rPr>
          <w:rFonts w:ascii="Times New Roman" w:hAnsi="Times New Roman" w:cs="Times New Roman"/>
          <w:lang w:val="pl-PL"/>
        </w:rPr>
        <w:t>ogólne warunki u</w:t>
      </w:r>
      <w:r w:rsidR="00D63766" w:rsidRPr="00AE18F6">
        <w:rPr>
          <w:rFonts w:ascii="Times New Roman" w:hAnsi="Times New Roman" w:cs="Times New Roman"/>
          <w:lang w:val="pl-PL"/>
        </w:rPr>
        <w:t>bezpieczenia</w:t>
      </w:r>
      <w:r w:rsidR="00F23D80" w:rsidRPr="00AE18F6">
        <w:rPr>
          <w:rFonts w:ascii="Times New Roman" w:hAnsi="Times New Roman" w:cs="Times New Roman"/>
          <w:lang w:val="pl-PL"/>
        </w:rPr>
        <w:t>”</w:t>
      </w:r>
      <w:r w:rsidR="00067582" w:rsidRPr="00AE18F6">
        <w:rPr>
          <w:rFonts w:ascii="Times New Roman" w:hAnsi="Times New Roman" w:cs="Times New Roman"/>
          <w:lang w:val="pl-PL"/>
        </w:rPr>
        <w:t xml:space="preserve">. Spojrzał tylko na pierwszą stronę </w:t>
      </w:r>
      <w:r w:rsidR="00F23D80" w:rsidRPr="00AE18F6">
        <w:rPr>
          <w:rFonts w:ascii="Times New Roman" w:hAnsi="Times New Roman" w:cs="Times New Roman"/>
          <w:lang w:val="pl-PL"/>
        </w:rPr>
        <w:t>„</w:t>
      </w:r>
      <w:r w:rsidR="00067582" w:rsidRPr="00AE18F6">
        <w:rPr>
          <w:rFonts w:ascii="Times New Roman" w:hAnsi="Times New Roman" w:cs="Times New Roman"/>
          <w:lang w:val="pl-PL"/>
        </w:rPr>
        <w:t>polisy</w:t>
      </w:r>
      <w:r w:rsidR="00F23D80" w:rsidRPr="00AE18F6">
        <w:rPr>
          <w:rFonts w:ascii="Times New Roman" w:hAnsi="Times New Roman" w:cs="Times New Roman"/>
          <w:lang w:val="pl-PL"/>
        </w:rPr>
        <w:t xml:space="preserve"> </w:t>
      </w:r>
      <w:r w:rsidR="00D63766" w:rsidRPr="00AE18F6">
        <w:rPr>
          <w:rFonts w:ascii="Times New Roman" w:hAnsi="Times New Roman" w:cs="Times New Roman"/>
          <w:lang w:val="pl-PL"/>
        </w:rPr>
        <w:t>ubezpieczeniowej</w:t>
      </w:r>
      <w:r w:rsidR="00F23D80" w:rsidRPr="00AE18F6">
        <w:rPr>
          <w:rFonts w:ascii="Times New Roman" w:hAnsi="Times New Roman" w:cs="Times New Roman"/>
          <w:lang w:val="pl-PL"/>
        </w:rPr>
        <w:t xml:space="preserve">” </w:t>
      </w:r>
      <w:r w:rsidR="00D63766" w:rsidRPr="00AE18F6">
        <w:rPr>
          <w:rFonts w:ascii="Times New Roman" w:hAnsi="Times New Roman" w:cs="Times New Roman"/>
          <w:lang w:val="pl-PL"/>
        </w:rPr>
        <w:t>i</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stwierdził,</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że</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jego</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nazwisko</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i</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adres</w:t>
      </w:r>
      <w:r w:rsidR="00F23D80" w:rsidRPr="00AE18F6">
        <w:rPr>
          <w:rFonts w:ascii="Times New Roman" w:hAnsi="Times New Roman" w:cs="Times New Roman"/>
          <w:lang w:val="pl-PL"/>
        </w:rPr>
        <w:t xml:space="preserve"> </w:t>
      </w:r>
      <w:r w:rsidR="00C847D8" w:rsidRPr="00AE18F6">
        <w:rPr>
          <w:rFonts w:ascii="Times New Roman" w:hAnsi="Times New Roman" w:cs="Times New Roman"/>
          <w:lang w:val="pl-PL"/>
        </w:rPr>
        <w:t>są</w:t>
      </w:r>
      <w:r w:rsidR="00F23D80" w:rsidRPr="00AE18F6">
        <w:rPr>
          <w:rFonts w:ascii="Times New Roman" w:hAnsi="Times New Roman" w:cs="Times New Roman"/>
          <w:lang w:val="pl-PL"/>
        </w:rPr>
        <w:t xml:space="preserve"> </w:t>
      </w:r>
      <w:r w:rsidR="00067582" w:rsidRPr="00AE18F6">
        <w:rPr>
          <w:rFonts w:ascii="Times New Roman" w:hAnsi="Times New Roman" w:cs="Times New Roman"/>
          <w:lang w:val="pl-PL"/>
        </w:rPr>
        <w:t>prawidłowe.</w:t>
      </w:r>
    </w:p>
    <w:p w14:paraId="14CFC4A0" w14:textId="449CF15B" w:rsidR="00826F01" w:rsidRPr="00AE18F6" w:rsidRDefault="00D41C22" w:rsidP="00F23D80">
      <w:pPr>
        <w:spacing w:line="360" w:lineRule="auto"/>
        <w:jc w:val="both"/>
        <w:rPr>
          <w:rFonts w:ascii="Times New Roman" w:hAnsi="Times New Roman" w:cs="Times New Roman"/>
          <w:lang w:val="pl-PL"/>
        </w:rPr>
      </w:pPr>
      <w:r w:rsidRPr="00AE18F6">
        <w:rPr>
          <w:rFonts w:ascii="Times New Roman" w:hAnsi="Times New Roman" w:cs="Times New Roman"/>
          <w:lang w:val="pl-PL"/>
        </w:rPr>
        <w:br/>
      </w:r>
      <w:r w:rsidR="008409FF" w:rsidRPr="00AE18F6">
        <w:rPr>
          <w:rFonts w:ascii="Times New Roman" w:hAnsi="Times New Roman" w:cs="Times New Roman"/>
          <w:lang w:val="pl-PL"/>
        </w:rPr>
        <w:t>W dniu 2 stycznia 2020 r., pierwszego dnia długo oczekiwanego urlopu narciarskiego, Hora</w:t>
      </w:r>
      <w:r w:rsidR="0046036A" w:rsidRPr="00AE18F6">
        <w:rPr>
          <w:rFonts w:ascii="Times New Roman" w:hAnsi="Times New Roman" w:cs="Times New Roman"/>
          <w:lang w:val="pl-PL"/>
        </w:rPr>
        <w:t>cy</w:t>
      </w:r>
      <w:r w:rsidR="008409FF" w:rsidRPr="00AE18F6">
        <w:rPr>
          <w:rFonts w:ascii="Times New Roman" w:hAnsi="Times New Roman" w:cs="Times New Roman"/>
          <w:lang w:val="pl-PL"/>
        </w:rPr>
        <w:t xml:space="preserve"> z własnej winy zderzył się ze snowboardzistą. W wyniku wypadku zarówno Hora</w:t>
      </w:r>
      <w:r w:rsidR="0046036A" w:rsidRPr="00AE18F6">
        <w:rPr>
          <w:rFonts w:ascii="Times New Roman" w:hAnsi="Times New Roman" w:cs="Times New Roman"/>
          <w:lang w:val="pl-PL"/>
        </w:rPr>
        <w:t>cy</w:t>
      </w:r>
      <w:r w:rsidR="008409FF" w:rsidRPr="00AE18F6">
        <w:rPr>
          <w:rFonts w:ascii="Times New Roman" w:hAnsi="Times New Roman" w:cs="Times New Roman"/>
          <w:lang w:val="pl-PL"/>
        </w:rPr>
        <w:t>, jak i snowboardzista doznali obrażeń ciała, sprzęt snowboardzisty uległ zniszczeniu. Wezwane na miejsce zdarzenia służby ratownicze zgłosiły wypadek policji, wskazując Hora</w:t>
      </w:r>
      <w:r w:rsidR="0046036A" w:rsidRPr="00AE18F6">
        <w:rPr>
          <w:rFonts w:ascii="Times New Roman" w:hAnsi="Times New Roman" w:cs="Times New Roman"/>
          <w:lang w:val="pl-PL"/>
        </w:rPr>
        <w:t>c</w:t>
      </w:r>
      <w:r w:rsidR="00734414" w:rsidRPr="00AE18F6">
        <w:rPr>
          <w:rFonts w:ascii="Times New Roman" w:hAnsi="Times New Roman" w:cs="Times New Roman"/>
          <w:lang w:val="pl-PL"/>
        </w:rPr>
        <w:t>ego</w:t>
      </w:r>
      <w:r w:rsidR="008409FF" w:rsidRPr="00AE18F6">
        <w:rPr>
          <w:rFonts w:ascii="Times New Roman" w:hAnsi="Times New Roman" w:cs="Times New Roman"/>
          <w:lang w:val="pl-PL"/>
        </w:rPr>
        <w:t xml:space="preserve"> jako osobę odpowiedzialną. Zapytany w szpitalu o swoje ubezpieczenie, Hora</w:t>
      </w:r>
      <w:r w:rsidR="0046036A" w:rsidRPr="00AE18F6">
        <w:rPr>
          <w:rFonts w:ascii="Times New Roman" w:hAnsi="Times New Roman" w:cs="Times New Roman"/>
          <w:lang w:val="pl-PL"/>
        </w:rPr>
        <w:t>cy</w:t>
      </w:r>
      <w:r w:rsidR="008409FF" w:rsidRPr="00AE18F6">
        <w:rPr>
          <w:rFonts w:ascii="Times New Roman" w:hAnsi="Times New Roman" w:cs="Times New Roman"/>
          <w:lang w:val="pl-PL"/>
        </w:rPr>
        <w:t xml:space="preserve"> zadzwonił na infolinię Star Maker </w:t>
      </w:r>
      <w:proofErr w:type="spellStart"/>
      <w:r w:rsidR="008409FF" w:rsidRPr="00AE18F6">
        <w:rPr>
          <w:rFonts w:ascii="Times New Roman" w:hAnsi="Times New Roman" w:cs="Times New Roman"/>
          <w:lang w:val="pl-PL"/>
        </w:rPr>
        <w:t>Insurance</w:t>
      </w:r>
      <w:proofErr w:type="spellEnd"/>
      <w:r w:rsidR="008409FF" w:rsidRPr="00AE18F6">
        <w:rPr>
          <w:rFonts w:ascii="Times New Roman" w:hAnsi="Times New Roman" w:cs="Times New Roman"/>
          <w:lang w:val="pl-PL"/>
        </w:rPr>
        <w:t xml:space="preserve"> </w:t>
      </w:r>
      <w:proofErr w:type="spellStart"/>
      <w:r w:rsidR="008409FF" w:rsidRPr="00AE18F6">
        <w:rPr>
          <w:rFonts w:ascii="Times New Roman" w:hAnsi="Times New Roman" w:cs="Times New Roman"/>
          <w:lang w:val="pl-PL"/>
        </w:rPr>
        <w:t>Hotline</w:t>
      </w:r>
      <w:proofErr w:type="spellEnd"/>
      <w:r w:rsidR="008409FF" w:rsidRPr="00AE18F6">
        <w:rPr>
          <w:rFonts w:ascii="Times New Roman" w:hAnsi="Times New Roman" w:cs="Times New Roman"/>
          <w:lang w:val="pl-PL"/>
        </w:rPr>
        <w:t>. Tam pracownik ubezpieczalni, który był znacznie mniej czarujący niż Paulo, poinformował Hora</w:t>
      </w:r>
      <w:r w:rsidR="0046036A" w:rsidRPr="00AE18F6">
        <w:rPr>
          <w:rFonts w:ascii="Times New Roman" w:hAnsi="Times New Roman" w:cs="Times New Roman"/>
          <w:lang w:val="pl-PL"/>
        </w:rPr>
        <w:t>cego</w:t>
      </w:r>
      <w:r w:rsidR="008409FF" w:rsidRPr="00AE18F6">
        <w:rPr>
          <w:rFonts w:ascii="Times New Roman" w:hAnsi="Times New Roman" w:cs="Times New Roman"/>
          <w:lang w:val="pl-PL"/>
        </w:rPr>
        <w:t xml:space="preserve">, że jego ubezpieczenie kosztów leczenia obejmuje leczenie szpitalne w prywatnej klinice (tej, do której został przewieziony) tylko do 24 godzin, podczas gdy konieczny jest pobyt czterodniowy. Koszt transportu do domu był wykluczony. Ponadto, ubezpieczenie od odpowiedzialności cywilnej było ograniczone do 20 000 euro (podczas gdy szacowane szkody poniesione przez snowboardzistę wyniosły 40 000 euro). Wszystkie te ograniczenia i wyłączenia, powiedział pracownik </w:t>
      </w:r>
      <w:r w:rsidR="0046036A" w:rsidRPr="00AE18F6">
        <w:rPr>
          <w:rFonts w:ascii="Times New Roman" w:hAnsi="Times New Roman" w:cs="Times New Roman"/>
          <w:lang w:val="pl-PL"/>
        </w:rPr>
        <w:t xml:space="preserve">The </w:t>
      </w:r>
      <w:r w:rsidR="008409FF" w:rsidRPr="00AE18F6">
        <w:rPr>
          <w:rFonts w:ascii="Times New Roman" w:hAnsi="Times New Roman" w:cs="Times New Roman"/>
          <w:lang w:val="pl-PL"/>
        </w:rPr>
        <w:t xml:space="preserve">Star Maker </w:t>
      </w:r>
      <w:proofErr w:type="spellStart"/>
      <w:r w:rsidR="008409FF" w:rsidRPr="00AE18F6">
        <w:rPr>
          <w:rFonts w:ascii="Times New Roman" w:hAnsi="Times New Roman" w:cs="Times New Roman"/>
          <w:lang w:val="pl-PL"/>
        </w:rPr>
        <w:t>Insurance</w:t>
      </w:r>
      <w:proofErr w:type="spellEnd"/>
      <w:r w:rsidR="008409FF" w:rsidRPr="00AE18F6">
        <w:rPr>
          <w:rFonts w:ascii="Times New Roman" w:hAnsi="Times New Roman" w:cs="Times New Roman"/>
          <w:lang w:val="pl-PL"/>
        </w:rPr>
        <w:t xml:space="preserve">, były zawarte w </w:t>
      </w:r>
      <w:r w:rsidR="00734414" w:rsidRPr="00AE18F6">
        <w:rPr>
          <w:rFonts w:ascii="Times New Roman" w:hAnsi="Times New Roman" w:cs="Times New Roman"/>
          <w:lang w:val="pl-PL"/>
        </w:rPr>
        <w:t>„</w:t>
      </w:r>
      <w:r w:rsidR="008409FF" w:rsidRPr="00AE18F6">
        <w:rPr>
          <w:rFonts w:ascii="Times New Roman" w:hAnsi="Times New Roman" w:cs="Times New Roman"/>
          <w:lang w:val="pl-PL"/>
        </w:rPr>
        <w:t>ogólnych warunkach umowy</w:t>
      </w:r>
      <w:r w:rsidR="00734414" w:rsidRPr="00AE18F6">
        <w:rPr>
          <w:rFonts w:ascii="Times New Roman" w:hAnsi="Times New Roman" w:cs="Times New Roman"/>
          <w:lang w:val="pl-PL"/>
        </w:rPr>
        <w:t>”</w:t>
      </w:r>
      <w:r w:rsidR="008409FF" w:rsidRPr="00AE18F6">
        <w:rPr>
          <w:rFonts w:ascii="Times New Roman" w:hAnsi="Times New Roman" w:cs="Times New Roman"/>
          <w:lang w:val="pl-PL"/>
        </w:rPr>
        <w:t xml:space="preserve"> przesłanych Hora</w:t>
      </w:r>
      <w:r w:rsidR="0046036A" w:rsidRPr="00AE18F6">
        <w:rPr>
          <w:rFonts w:ascii="Times New Roman" w:hAnsi="Times New Roman" w:cs="Times New Roman"/>
          <w:lang w:val="pl-PL"/>
        </w:rPr>
        <w:t>cemu</w:t>
      </w:r>
      <w:r w:rsidR="008409FF" w:rsidRPr="00AE18F6">
        <w:rPr>
          <w:rFonts w:ascii="Times New Roman" w:hAnsi="Times New Roman" w:cs="Times New Roman"/>
          <w:lang w:val="pl-PL"/>
        </w:rPr>
        <w:t xml:space="preserve"> pocztą elektroniczną. Dalsze koszty miał pokryć Hora</w:t>
      </w:r>
      <w:r w:rsidR="0046036A" w:rsidRPr="00AE18F6">
        <w:rPr>
          <w:rFonts w:ascii="Times New Roman" w:hAnsi="Times New Roman" w:cs="Times New Roman"/>
          <w:lang w:val="pl-PL"/>
        </w:rPr>
        <w:t>cy</w:t>
      </w:r>
      <w:r w:rsidR="008409FF" w:rsidRPr="00AE18F6">
        <w:rPr>
          <w:rFonts w:ascii="Times New Roman" w:hAnsi="Times New Roman" w:cs="Times New Roman"/>
          <w:lang w:val="pl-PL"/>
        </w:rPr>
        <w:t xml:space="preserve"> we własnym zakresie. Całkowicie zrozpaczony Hora</w:t>
      </w:r>
      <w:r w:rsidR="0046036A" w:rsidRPr="00AE18F6">
        <w:rPr>
          <w:rFonts w:ascii="Times New Roman" w:hAnsi="Times New Roman" w:cs="Times New Roman"/>
          <w:lang w:val="pl-PL"/>
        </w:rPr>
        <w:t>cy</w:t>
      </w:r>
      <w:r w:rsidR="008409FF" w:rsidRPr="00AE18F6">
        <w:rPr>
          <w:rFonts w:ascii="Times New Roman" w:hAnsi="Times New Roman" w:cs="Times New Roman"/>
          <w:lang w:val="pl-PL"/>
        </w:rPr>
        <w:t xml:space="preserve"> wezwał rodzinę, aby zorganizowała pomoc i sprowadziła go do domu.</w:t>
      </w:r>
      <w:r w:rsidR="00C847D8" w:rsidRPr="00AE18F6">
        <w:rPr>
          <w:rFonts w:ascii="Times New Roman" w:hAnsi="Times New Roman" w:cs="Times New Roman"/>
          <w:lang w:val="pl-PL"/>
        </w:rPr>
        <w:br/>
      </w:r>
    </w:p>
    <w:p w14:paraId="01B6F097" w14:textId="77777777" w:rsidR="007C222D" w:rsidRPr="00AE18F6" w:rsidRDefault="007C222D" w:rsidP="007C222D">
      <w:pPr>
        <w:pStyle w:val="Nagwek1"/>
        <w:rPr>
          <w:lang w:val="pl-PL"/>
        </w:rPr>
      </w:pPr>
      <w:bookmarkStart w:id="1" w:name="_Toc94131770"/>
      <w:r w:rsidRPr="00AE18F6">
        <w:rPr>
          <w:lang w:val="pl-PL"/>
        </w:rPr>
        <w:lastRenderedPageBreak/>
        <w:t>SPÓR</w:t>
      </w:r>
      <w:bookmarkEnd w:id="1"/>
    </w:p>
    <w:p w14:paraId="623888C0" w14:textId="77777777" w:rsidR="00773B98" w:rsidRPr="00AE18F6" w:rsidRDefault="0074393E" w:rsidP="00773B98">
      <w:pPr>
        <w:spacing w:line="360" w:lineRule="auto"/>
        <w:jc w:val="both"/>
        <w:rPr>
          <w:rFonts w:ascii="Times New Roman" w:hAnsi="Times New Roman" w:cs="Times New Roman"/>
          <w:lang w:val="pl-PL"/>
        </w:rPr>
      </w:pPr>
      <w:r w:rsidRPr="00AE18F6">
        <w:rPr>
          <w:lang w:val="pl-PL"/>
        </w:rPr>
        <w:br/>
      </w:r>
      <w:r w:rsidR="00773B98" w:rsidRPr="00AE18F6">
        <w:rPr>
          <w:rFonts w:ascii="Times New Roman" w:hAnsi="Times New Roman" w:cs="Times New Roman"/>
          <w:lang w:val="pl-PL"/>
        </w:rPr>
        <w:t xml:space="preserve">Po dojściu do siebie po wypadku i sprawdzeniu swoich </w:t>
      </w:r>
      <w:r w:rsidR="002815F5" w:rsidRPr="00AE18F6">
        <w:rPr>
          <w:rFonts w:ascii="Times New Roman" w:hAnsi="Times New Roman" w:cs="Times New Roman"/>
          <w:lang w:val="pl-PL"/>
        </w:rPr>
        <w:t>wyciągów</w:t>
      </w:r>
      <w:r w:rsidR="00773B98" w:rsidRPr="00AE18F6">
        <w:rPr>
          <w:rFonts w:ascii="Times New Roman" w:hAnsi="Times New Roman" w:cs="Times New Roman"/>
          <w:lang w:val="pl-PL"/>
        </w:rPr>
        <w:t xml:space="preserve"> bankowych Hora</w:t>
      </w:r>
      <w:r w:rsidR="002815F5" w:rsidRPr="00AE18F6">
        <w:rPr>
          <w:rFonts w:ascii="Times New Roman" w:hAnsi="Times New Roman" w:cs="Times New Roman"/>
          <w:lang w:val="pl-PL"/>
        </w:rPr>
        <w:t>cy</w:t>
      </w:r>
      <w:r w:rsidR="00773B98" w:rsidRPr="00AE18F6">
        <w:rPr>
          <w:rFonts w:ascii="Times New Roman" w:hAnsi="Times New Roman" w:cs="Times New Roman"/>
          <w:lang w:val="pl-PL"/>
        </w:rPr>
        <w:t xml:space="preserve"> odkrył, że jego konto zostało obciążone kwotą 300 euro na rzecz Star Maker </w:t>
      </w:r>
      <w:proofErr w:type="spellStart"/>
      <w:r w:rsidR="00773B98" w:rsidRPr="00AE18F6">
        <w:rPr>
          <w:rFonts w:ascii="Times New Roman" w:hAnsi="Times New Roman" w:cs="Times New Roman"/>
          <w:lang w:val="pl-PL"/>
        </w:rPr>
        <w:t>Insurance</w:t>
      </w:r>
      <w:proofErr w:type="spellEnd"/>
      <w:r w:rsidR="00773B98" w:rsidRPr="00AE18F6">
        <w:rPr>
          <w:rFonts w:ascii="Times New Roman" w:hAnsi="Times New Roman" w:cs="Times New Roman"/>
          <w:lang w:val="pl-PL"/>
        </w:rPr>
        <w:t>. Oburzony faktem, że został obciążony zbyt wysoką opłatą za to, co okazało się w dużej mierze bezużytecznym produktem ubezpieczeniowym, Hora</w:t>
      </w:r>
      <w:r w:rsidR="002815F5" w:rsidRPr="00AE18F6">
        <w:rPr>
          <w:rFonts w:ascii="Times New Roman" w:hAnsi="Times New Roman" w:cs="Times New Roman"/>
          <w:lang w:val="pl-PL"/>
        </w:rPr>
        <w:t>cy</w:t>
      </w:r>
      <w:r w:rsidR="00773B98" w:rsidRPr="00AE18F6">
        <w:rPr>
          <w:rFonts w:ascii="Times New Roman" w:hAnsi="Times New Roman" w:cs="Times New Roman"/>
          <w:lang w:val="pl-PL"/>
        </w:rPr>
        <w:t xml:space="preserve"> zażądał:</w:t>
      </w:r>
    </w:p>
    <w:p w14:paraId="2DE31AED" w14:textId="77777777" w:rsidR="00773B98" w:rsidRPr="00AE18F6" w:rsidRDefault="00773B98" w:rsidP="00773B98">
      <w:pPr>
        <w:pStyle w:val="Akapitzlist"/>
        <w:numPr>
          <w:ilvl w:val="0"/>
          <w:numId w:val="1"/>
        </w:numPr>
        <w:spacing w:line="360" w:lineRule="auto"/>
        <w:jc w:val="both"/>
        <w:rPr>
          <w:rFonts w:ascii="Times New Roman" w:hAnsi="Times New Roman" w:cs="Times New Roman"/>
          <w:lang w:val="pl-PL"/>
        </w:rPr>
      </w:pPr>
      <w:r w:rsidRPr="00AE18F6">
        <w:rPr>
          <w:rFonts w:ascii="Times New Roman" w:hAnsi="Times New Roman" w:cs="Times New Roman"/>
          <w:lang w:val="pl-PL"/>
        </w:rPr>
        <w:t>zwrotu 200 euro za zawyżoną cenę za poli</w:t>
      </w:r>
      <w:r w:rsidR="002815F5" w:rsidRPr="00AE18F6">
        <w:rPr>
          <w:rFonts w:ascii="Times New Roman" w:hAnsi="Times New Roman" w:cs="Times New Roman"/>
          <w:lang w:val="pl-PL"/>
        </w:rPr>
        <w:t>sę</w:t>
      </w:r>
      <w:r w:rsidRPr="00AE18F6">
        <w:rPr>
          <w:rFonts w:ascii="Times New Roman" w:hAnsi="Times New Roman" w:cs="Times New Roman"/>
          <w:lang w:val="pl-PL"/>
        </w:rPr>
        <w:t xml:space="preserve"> ubezpieczeniową;</w:t>
      </w:r>
    </w:p>
    <w:p w14:paraId="7C8CB329" w14:textId="77777777" w:rsidR="00773B98" w:rsidRPr="00AE18F6" w:rsidRDefault="00773B98" w:rsidP="00773B98">
      <w:pPr>
        <w:pStyle w:val="Akapitzlist"/>
        <w:numPr>
          <w:ilvl w:val="0"/>
          <w:numId w:val="1"/>
        </w:numPr>
        <w:spacing w:line="360" w:lineRule="auto"/>
        <w:jc w:val="both"/>
        <w:rPr>
          <w:lang w:val="pl-PL"/>
        </w:rPr>
      </w:pPr>
      <w:r w:rsidRPr="00AE18F6">
        <w:rPr>
          <w:rFonts w:ascii="Times New Roman" w:hAnsi="Times New Roman" w:cs="Times New Roman"/>
          <w:lang w:val="pl-PL"/>
        </w:rPr>
        <w:t>odszkodowania w postaci zwrotu kwoty 20 000 euro, którą był zobowiązany zapłacić za straty poniesione przez snowboardzistę;</w:t>
      </w:r>
    </w:p>
    <w:p w14:paraId="3CC22D85" w14:textId="77777777" w:rsidR="00DB5EA5" w:rsidRPr="00AE18F6" w:rsidRDefault="00773B98" w:rsidP="00773B98">
      <w:pPr>
        <w:pStyle w:val="Akapitzlist"/>
        <w:numPr>
          <w:ilvl w:val="0"/>
          <w:numId w:val="1"/>
        </w:numPr>
        <w:spacing w:line="360" w:lineRule="auto"/>
        <w:jc w:val="both"/>
        <w:rPr>
          <w:lang w:val="pl-PL"/>
        </w:rPr>
      </w:pPr>
      <w:r w:rsidRPr="00AE18F6">
        <w:rPr>
          <w:rFonts w:ascii="Times New Roman" w:hAnsi="Times New Roman" w:cs="Times New Roman"/>
          <w:lang w:val="pl-PL"/>
        </w:rPr>
        <w:t>odszkodowania w postaci zwrotu 20 000 euro, które stanowiły koszty leczenia w prywatnej klinice we Francji i podróży powrotnej do domu, za które zapłacił sam.</w:t>
      </w:r>
      <w:r w:rsidRPr="00AE18F6">
        <w:rPr>
          <w:lang w:val="pl-PL"/>
        </w:rPr>
        <w:t xml:space="preserve">  </w:t>
      </w:r>
    </w:p>
    <w:p w14:paraId="00592A73" w14:textId="2E5D7F1A" w:rsidR="00AA1343" w:rsidRPr="00AE18F6" w:rsidRDefault="00DB5EA5" w:rsidP="00DE5C79">
      <w:pPr>
        <w:spacing w:line="360" w:lineRule="auto"/>
        <w:jc w:val="both"/>
        <w:rPr>
          <w:rFonts w:ascii="Times New Roman" w:hAnsi="Times New Roman" w:cs="Times New Roman"/>
          <w:lang w:val="pl-PL"/>
        </w:rPr>
      </w:pPr>
      <w:r w:rsidRPr="00AE18F6">
        <w:rPr>
          <w:lang w:val="pl-PL"/>
        </w:rPr>
        <w:br/>
      </w:r>
      <w:r w:rsidRPr="00AE18F6">
        <w:rPr>
          <w:rFonts w:ascii="Times New Roman" w:hAnsi="Times New Roman" w:cs="Times New Roman"/>
          <w:lang w:val="pl-PL"/>
        </w:rPr>
        <w:t>Umowa ubezpieczenia pomiędzy POZWANYM a POWODEM zawiera następującą klauzulę rozstrzygania sporów:</w:t>
      </w:r>
      <w:r w:rsidRPr="00AE18F6">
        <w:rPr>
          <w:rFonts w:ascii="Times New Roman" w:hAnsi="Times New Roman" w:cs="Times New Roman"/>
          <w:lang w:val="pl-PL"/>
        </w:rPr>
        <w:br/>
      </w:r>
      <w:r w:rsidRPr="00AE18F6">
        <w:rPr>
          <w:rFonts w:ascii="Times New Roman" w:hAnsi="Times New Roman" w:cs="Times New Roman"/>
          <w:lang w:val="pl-PL"/>
        </w:rPr>
        <w:br/>
        <w:t xml:space="preserve"> </w:t>
      </w:r>
      <w:r w:rsidRPr="00AE18F6">
        <w:rPr>
          <w:rFonts w:ascii="Times New Roman" w:hAnsi="Times New Roman" w:cs="Times New Roman"/>
          <w:i/>
          <w:lang w:val="pl-PL"/>
        </w:rPr>
        <w:tab/>
        <w:t>„Wszelkie spory wynikające z niniejszej Umowy Ubezpieczenia lub powstałe w związku z nią będą ostatecznie rozstrzygane w ramach procedury na stronie Jur Court.</w:t>
      </w:r>
      <w:r w:rsidR="006E44AD" w:rsidRPr="00AE18F6">
        <w:rPr>
          <w:rStyle w:val="Odwoanieprzypisudolnego"/>
          <w:rFonts w:ascii="Times New Roman" w:hAnsi="Times New Roman" w:cs="Times New Roman"/>
          <w:i/>
          <w:lang w:val="pl-PL"/>
        </w:rPr>
        <w:footnoteReference w:id="1"/>
      </w:r>
      <w:r w:rsidRPr="00AE18F6">
        <w:rPr>
          <w:rFonts w:ascii="Times New Roman" w:hAnsi="Times New Roman" w:cs="Times New Roman"/>
          <w:i/>
          <w:lang w:val="pl-PL"/>
        </w:rPr>
        <w:t xml:space="preserve">  Strona Jur Court jest mechanizmem internetowego rozstrzygania sporów ("ODR"). Strony akceptują zasady funkcjonowania i regulamin strony sądowej Jur, ok</w:t>
      </w:r>
      <w:r w:rsidR="006274E2" w:rsidRPr="00AE18F6">
        <w:rPr>
          <w:rFonts w:ascii="Times New Roman" w:hAnsi="Times New Roman" w:cs="Times New Roman"/>
          <w:i/>
          <w:lang w:val="pl-PL"/>
        </w:rPr>
        <w:t>reślone na stronie internetowej </w:t>
      </w:r>
      <w:r w:rsidRPr="00AE18F6">
        <w:rPr>
          <w:rFonts w:ascii="Times New Roman" w:hAnsi="Times New Roman" w:cs="Times New Roman"/>
          <w:i/>
          <w:lang w:val="pl-PL"/>
        </w:rPr>
        <w:t>Jur</w:t>
      </w:r>
      <w:r w:rsidR="00734414" w:rsidRPr="00AE18F6">
        <w:rPr>
          <w:rFonts w:ascii="Times New Roman" w:hAnsi="Times New Roman" w:cs="Times New Roman"/>
          <w:i/>
          <w:lang w:val="pl-PL"/>
        </w:rPr>
        <w:t>”</w:t>
      </w:r>
      <w:r w:rsidRPr="00AE18F6">
        <w:rPr>
          <w:rFonts w:ascii="Times New Roman" w:hAnsi="Times New Roman" w:cs="Times New Roman"/>
          <w:i/>
          <w:lang w:val="pl-PL"/>
        </w:rPr>
        <w:t>.</w:t>
      </w:r>
      <w:r w:rsidR="006274E2" w:rsidRPr="00AE18F6">
        <w:rPr>
          <w:rFonts w:ascii="Times New Roman" w:hAnsi="Times New Roman" w:cs="Times New Roman"/>
          <w:i/>
          <w:lang w:val="pl-PL"/>
        </w:rPr>
        <w:br/>
      </w:r>
      <w:r w:rsidR="006274E2" w:rsidRPr="00AE18F6">
        <w:rPr>
          <w:rFonts w:ascii="Times New Roman" w:hAnsi="Times New Roman" w:cs="Times New Roman"/>
          <w:i/>
          <w:lang w:val="pl-PL"/>
        </w:rPr>
        <w:br/>
      </w:r>
      <w:r w:rsidR="00552452" w:rsidRPr="00AE18F6">
        <w:rPr>
          <w:rFonts w:ascii="Times New Roman" w:hAnsi="Times New Roman" w:cs="Times New Roman"/>
          <w:lang w:val="pl-PL"/>
        </w:rPr>
        <w:t>Ponadto umowa ubezpieczenia zawiera następującą klauzulę dotyczącą prawa właściwego:</w:t>
      </w:r>
      <w:r w:rsidR="00552452" w:rsidRPr="00AE18F6">
        <w:rPr>
          <w:rFonts w:ascii="Times New Roman" w:hAnsi="Times New Roman" w:cs="Times New Roman"/>
          <w:lang w:val="pl-PL"/>
        </w:rPr>
        <w:br/>
      </w:r>
      <w:r w:rsidR="00552452" w:rsidRPr="00AE18F6">
        <w:rPr>
          <w:rFonts w:ascii="Times New Roman" w:hAnsi="Times New Roman" w:cs="Times New Roman"/>
          <w:lang w:val="pl-PL"/>
        </w:rPr>
        <w:br/>
      </w:r>
      <w:r w:rsidR="00552452" w:rsidRPr="00AE18F6">
        <w:rPr>
          <w:rFonts w:ascii="Times New Roman" w:hAnsi="Times New Roman" w:cs="Times New Roman"/>
          <w:i/>
          <w:lang w:val="pl-PL"/>
        </w:rPr>
        <w:t xml:space="preserve"> </w:t>
      </w:r>
      <w:r w:rsidR="00552452" w:rsidRPr="00AE18F6">
        <w:rPr>
          <w:rFonts w:ascii="Times New Roman" w:hAnsi="Times New Roman" w:cs="Times New Roman"/>
          <w:i/>
          <w:lang w:val="pl-PL"/>
        </w:rPr>
        <w:tab/>
        <w:t>„</w:t>
      </w:r>
      <w:r w:rsidR="00986140" w:rsidRPr="00AE18F6">
        <w:rPr>
          <w:rFonts w:ascii="Times New Roman" w:hAnsi="Times New Roman" w:cs="Times New Roman"/>
          <w:i/>
          <w:lang w:val="pl-PL"/>
        </w:rPr>
        <w:t>Cały </w:t>
      </w:r>
      <w:r w:rsidR="00552452" w:rsidRPr="00AE18F6">
        <w:rPr>
          <w:rFonts w:ascii="Times New Roman" w:hAnsi="Times New Roman" w:cs="Times New Roman"/>
          <w:i/>
          <w:lang w:val="pl-PL"/>
        </w:rPr>
        <w:t>stosunek</w:t>
      </w:r>
      <w:r w:rsidR="00986140" w:rsidRPr="00AE18F6">
        <w:rPr>
          <w:rFonts w:ascii="Times New Roman" w:hAnsi="Times New Roman" w:cs="Times New Roman"/>
          <w:i/>
          <w:lang w:val="pl-PL"/>
        </w:rPr>
        <w:t> </w:t>
      </w:r>
      <w:r w:rsidR="00552452" w:rsidRPr="00AE18F6">
        <w:rPr>
          <w:rFonts w:ascii="Times New Roman" w:hAnsi="Times New Roman" w:cs="Times New Roman"/>
          <w:i/>
          <w:lang w:val="pl-PL"/>
        </w:rPr>
        <w:t>prawny</w:t>
      </w:r>
      <w:r w:rsidR="00986140" w:rsidRPr="00AE18F6">
        <w:rPr>
          <w:rFonts w:ascii="Times New Roman" w:hAnsi="Times New Roman" w:cs="Times New Roman"/>
          <w:i/>
          <w:lang w:val="pl-PL"/>
        </w:rPr>
        <w:t> stron jest </w:t>
      </w:r>
      <w:r w:rsidR="00552452" w:rsidRPr="00AE18F6">
        <w:rPr>
          <w:rFonts w:ascii="Times New Roman" w:hAnsi="Times New Roman" w:cs="Times New Roman"/>
          <w:i/>
          <w:lang w:val="pl-PL"/>
        </w:rPr>
        <w:t>regulo</w:t>
      </w:r>
      <w:r w:rsidR="00986140" w:rsidRPr="00AE18F6">
        <w:rPr>
          <w:rFonts w:ascii="Times New Roman" w:hAnsi="Times New Roman" w:cs="Times New Roman"/>
          <w:i/>
          <w:lang w:val="pl-PL"/>
        </w:rPr>
        <w:t>wany przez </w:t>
      </w:r>
      <w:r w:rsidR="00552452" w:rsidRPr="00AE18F6">
        <w:rPr>
          <w:rFonts w:ascii="Times New Roman" w:hAnsi="Times New Roman" w:cs="Times New Roman"/>
          <w:i/>
          <w:lang w:val="pl-PL"/>
        </w:rPr>
        <w:t>prawo</w:t>
      </w:r>
      <w:r w:rsidR="00986140" w:rsidRPr="00AE18F6">
        <w:rPr>
          <w:rFonts w:ascii="Times New Roman" w:hAnsi="Times New Roman" w:cs="Times New Roman"/>
          <w:i/>
          <w:lang w:val="pl-PL"/>
        </w:rPr>
        <w:t> </w:t>
      </w:r>
      <w:r w:rsidR="00552452" w:rsidRPr="00AE18F6">
        <w:rPr>
          <w:rFonts w:ascii="Times New Roman" w:hAnsi="Times New Roman" w:cs="Times New Roman"/>
          <w:i/>
          <w:lang w:val="pl-PL"/>
        </w:rPr>
        <w:t>angielskie”.</w:t>
      </w:r>
      <w:r w:rsidR="00552452" w:rsidRPr="00AE18F6">
        <w:rPr>
          <w:rFonts w:ascii="Times New Roman" w:hAnsi="Times New Roman" w:cs="Times New Roman"/>
          <w:i/>
          <w:lang w:val="pl-PL"/>
        </w:rPr>
        <w:br/>
      </w:r>
      <w:r w:rsidR="00552452" w:rsidRPr="00AE18F6">
        <w:rPr>
          <w:rFonts w:ascii="Times New Roman" w:hAnsi="Times New Roman" w:cs="Times New Roman"/>
          <w:i/>
          <w:lang w:val="pl-PL"/>
        </w:rPr>
        <w:br/>
      </w:r>
      <w:r w:rsidR="00AA1343" w:rsidRPr="00AE18F6">
        <w:rPr>
          <w:rFonts w:ascii="Times New Roman" w:hAnsi="Times New Roman" w:cs="Times New Roman"/>
          <w:lang w:val="pl-PL"/>
        </w:rPr>
        <w:t>POWÓD rozpoczyna procedurę rozstrzygania sporu za pośrednictwem strony Jur Court, zgodnie z umową ubezpieczenia, i zwraca się o zapłatę wyżej wymienionych kwot.</w:t>
      </w:r>
    </w:p>
    <w:p w14:paraId="77BE3D2A" w14:textId="77777777" w:rsidR="00AA1343" w:rsidRPr="00AE18F6" w:rsidRDefault="00AA1343" w:rsidP="00DE5C79">
      <w:pPr>
        <w:spacing w:line="360" w:lineRule="auto"/>
        <w:jc w:val="both"/>
        <w:rPr>
          <w:rFonts w:ascii="Times New Roman" w:hAnsi="Times New Roman" w:cs="Times New Roman"/>
          <w:lang w:val="pl-PL"/>
        </w:rPr>
      </w:pPr>
    </w:p>
    <w:p w14:paraId="583D67B9" w14:textId="77777777" w:rsidR="00DE5C79" w:rsidRPr="00AE18F6" w:rsidRDefault="00AA1343" w:rsidP="00DE5C79">
      <w:pPr>
        <w:spacing w:line="360" w:lineRule="auto"/>
        <w:jc w:val="both"/>
        <w:rPr>
          <w:rFonts w:ascii="Times New Roman" w:hAnsi="Times New Roman" w:cs="Times New Roman"/>
          <w:lang w:val="pl-PL"/>
        </w:rPr>
      </w:pPr>
      <w:r w:rsidRPr="00AE18F6">
        <w:rPr>
          <w:rFonts w:ascii="Times New Roman" w:hAnsi="Times New Roman" w:cs="Times New Roman"/>
          <w:lang w:val="pl-PL"/>
        </w:rPr>
        <w:t xml:space="preserve">Regulamin </w:t>
      </w:r>
      <w:r w:rsidR="00CD2D68" w:rsidRPr="00AE18F6">
        <w:rPr>
          <w:rFonts w:ascii="Times New Roman" w:hAnsi="Times New Roman" w:cs="Times New Roman"/>
          <w:lang w:val="pl-PL"/>
        </w:rPr>
        <w:t>strony</w:t>
      </w:r>
      <w:r w:rsidRPr="00AE18F6">
        <w:rPr>
          <w:rFonts w:ascii="Times New Roman" w:hAnsi="Times New Roman" w:cs="Times New Roman"/>
          <w:lang w:val="pl-PL"/>
        </w:rPr>
        <w:t xml:space="preserve"> Jur Court przewiduje, że spór będzie rozstrzygany przez trzyosobowy zespół orzekający, wybrany losowo przez algorytm. Postępowanie toczy się w całości online poprzez pisemne wnioski, nie ma rozprawy ustnej.</w:t>
      </w:r>
    </w:p>
    <w:p w14:paraId="46C108FC" w14:textId="77777777" w:rsidR="00DE5C79" w:rsidRPr="00AE18F6" w:rsidRDefault="00DE5C79" w:rsidP="00DE5C79">
      <w:pPr>
        <w:spacing w:line="360" w:lineRule="auto"/>
        <w:rPr>
          <w:rFonts w:ascii="Times New Roman" w:hAnsi="Times New Roman" w:cs="Times New Roman"/>
          <w:lang w:val="pl-PL"/>
        </w:rPr>
      </w:pPr>
    </w:p>
    <w:p w14:paraId="76829126" w14:textId="2AE63A31" w:rsidR="00DE5C79" w:rsidRPr="00AE18F6" w:rsidRDefault="00DE5C79" w:rsidP="00DE5C79">
      <w:pPr>
        <w:spacing w:line="360" w:lineRule="auto"/>
        <w:jc w:val="both"/>
        <w:rPr>
          <w:rFonts w:ascii="Times New Roman" w:hAnsi="Times New Roman" w:cs="Times New Roman"/>
          <w:lang w:val="pl-PL"/>
        </w:rPr>
      </w:pPr>
      <w:r w:rsidRPr="00AE18F6">
        <w:rPr>
          <w:rFonts w:ascii="Times New Roman" w:hAnsi="Times New Roman" w:cs="Times New Roman"/>
          <w:lang w:val="pl-PL"/>
        </w:rPr>
        <w:lastRenderedPageBreak/>
        <w:t xml:space="preserve">Po zakończeniu procedury </w:t>
      </w:r>
      <w:r w:rsidR="00CD2D68" w:rsidRPr="00AE18F6">
        <w:rPr>
          <w:rFonts w:ascii="Times New Roman" w:hAnsi="Times New Roman" w:cs="Times New Roman"/>
          <w:lang w:val="pl-PL"/>
        </w:rPr>
        <w:t xml:space="preserve">na stronie </w:t>
      </w:r>
      <w:r w:rsidRPr="00AE18F6">
        <w:rPr>
          <w:rFonts w:ascii="Times New Roman" w:hAnsi="Times New Roman" w:cs="Times New Roman"/>
          <w:lang w:val="pl-PL"/>
        </w:rPr>
        <w:t xml:space="preserve">Jur Court zespół orzeka, że POWÓD nie jest uprawniony do otrzymania jakiejkolwiek wypłaty od POZWANEGO. Ostateczna decyzja zespołu została zawarta w dokumencie PDF, który został doręczony stronom drogą elektroniczną. Zespół orzeka w nim, że POZWANY nie jest odpowiedzialny za dokonywanie jakichkolwiek płatności na rzecz POWODA, ponieważ zarówno </w:t>
      </w:r>
      <w:r w:rsidR="00734414" w:rsidRPr="00AE18F6">
        <w:rPr>
          <w:rFonts w:ascii="Times New Roman" w:hAnsi="Times New Roman" w:cs="Times New Roman"/>
          <w:lang w:val="pl-PL"/>
        </w:rPr>
        <w:t>„</w:t>
      </w:r>
      <w:r w:rsidRPr="00AE18F6">
        <w:rPr>
          <w:rFonts w:ascii="Times New Roman" w:hAnsi="Times New Roman" w:cs="Times New Roman"/>
          <w:lang w:val="pl-PL"/>
        </w:rPr>
        <w:t>polisa ubezpieczeniowa</w:t>
      </w:r>
      <w:r w:rsidR="00734414" w:rsidRPr="00AE18F6">
        <w:rPr>
          <w:rFonts w:ascii="Times New Roman" w:hAnsi="Times New Roman" w:cs="Times New Roman"/>
          <w:lang w:val="pl-PL"/>
        </w:rPr>
        <w:t>”</w:t>
      </w:r>
      <w:r w:rsidRPr="00AE18F6">
        <w:rPr>
          <w:rFonts w:ascii="Times New Roman" w:hAnsi="Times New Roman" w:cs="Times New Roman"/>
          <w:lang w:val="pl-PL"/>
        </w:rPr>
        <w:t xml:space="preserve">, jak i </w:t>
      </w:r>
      <w:r w:rsidR="00734414" w:rsidRPr="00AE18F6">
        <w:rPr>
          <w:rFonts w:ascii="Times New Roman" w:hAnsi="Times New Roman" w:cs="Times New Roman"/>
          <w:lang w:val="pl-PL"/>
        </w:rPr>
        <w:t>„</w:t>
      </w:r>
      <w:r w:rsidR="00CD2D68" w:rsidRPr="00AE18F6">
        <w:rPr>
          <w:rFonts w:ascii="Times New Roman" w:hAnsi="Times New Roman" w:cs="Times New Roman"/>
          <w:lang w:val="pl-PL"/>
        </w:rPr>
        <w:t>ogólne warunki ubezpieczenia</w:t>
      </w:r>
      <w:r w:rsidR="00734414" w:rsidRPr="00AE18F6">
        <w:rPr>
          <w:rFonts w:ascii="Times New Roman" w:hAnsi="Times New Roman" w:cs="Times New Roman"/>
          <w:lang w:val="pl-PL"/>
        </w:rPr>
        <w:t>”</w:t>
      </w:r>
      <w:r w:rsidRPr="00AE18F6">
        <w:rPr>
          <w:rFonts w:ascii="Times New Roman" w:hAnsi="Times New Roman" w:cs="Times New Roman"/>
          <w:lang w:val="pl-PL"/>
        </w:rPr>
        <w:t xml:space="preserve"> zostały prawidłowo wysłane do POWODA po tym, jak wybrał on ofertę POZWANEGO. Polityka cenowa ryzyka (wytyczne </w:t>
      </w:r>
      <w:r w:rsidR="00B50F99" w:rsidRPr="00AE18F6">
        <w:rPr>
          <w:rFonts w:ascii="Times New Roman" w:hAnsi="Times New Roman" w:cs="Times New Roman"/>
          <w:lang w:val="pl-PL"/>
        </w:rPr>
        <w:t>dotyczące gwarantowania</w:t>
      </w:r>
      <w:r w:rsidRPr="00AE18F6">
        <w:rPr>
          <w:rFonts w:ascii="Times New Roman" w:hAnsi="Times New Roman" w:cs="Times New Roman"/>
          <w:lang w:val="pl-PL"/>
        </w:rPr>
        <w:t xml:space="preserve">) stosowana przez </w:t>
      </w:r>
      <w:r w:rsidR="00CD2D68" w:rsidRPr="00AE18F6">
        <w:rPr>
          <w:rFonts w:ascii="Times New Roman" w:hAnsi="Times New Roman" w:cs="Times New Roman"/>
          <w:lang w:val="pl-PL"/>
        </w:rPr>
        <w:t>POWODA</w:t>
      </w:r>
      <w:r w:rsidRPr="00AE18F6">
        <w:rPr>
          <w:rFonts w:ascii="Times New Roman" w:hAnsi="Times New Roman" w:cs="Times New Roman"/>
          <w:lang w:val="pl-PL"/>
        </w:rPr>
        <w:t xml:space="preserve"> jest w pełni zgodna z prawem i w żadnym stopniu nie jest dyskryminująca.</w:t>
      </w:r>
    </w:p>
    <w:p w14:paraId="0A074456" w14:textId="77777777" w:rsidR="00DE5C79" w:rsidRPr="00AE18F6" w:rsidRDefault="00DE5C79" w:rsidP="00DE5C79">
      <w:pPr>
        <w:spacing w:line="360" w:lineRule="auto"/>
        <w:jc w:val="both"/>
        <w:rPr>
          <w:rFonts w:ascii="Times New Roman" w:hAnsi="Times New Roman" w:cs="Times New Roman"/>
          <w:lang w:val="pl-PL"/>
        </w:rPr>
      </w:pPr>
    </w:p>
    <w:p w14:paraId="4CCEE2FF" w14:textId="77777777" w:rsidR="00AE18F6" w:rsidRPr="00AE18F6" w:rsidRDefault="00AE18F6" w:rsidP="00AE18F6">
      <w:pPr>
        <w:spacing w:line="360" w:lineRule="auto"/>
        <w:jc w:val="both"/>
        <w:rPr>
          <w:rFonts w:ascii="Times New Roman" w:hAnsi="Times New Roman" w:cs="Times New Roman"/>
          <w:lang w:val="pl-PL"/>
        </w:rPr>
      </w:pPr>
      <w:r w:rsidRPr="00AE18F6">
        <w:rPr>
          <w:rFonts w:ascii="Times New Roman" w:hAnsi="Times New Roman" w:cs="Times New Roman"/>
          <w:lang w:val="pl-PL"/>
        </w:rPr>
        <w:t>Po przegranym postępowaniu w sprawie na stronie Jur Court, POWÓD zamierza wszcząć postępowanie przez polskim sądem powszechnym. Powód zamierza ubiegać się o zasądzenie od POZWANEGO kwoty 42 200 euro lub równowartości kwoty w złotych polskich (PLN).</w:t>
      </w:r>
      <w:r w:rsidRPr="00AE18F6">
        <w:rPr>
          <w:rFonts w:ascii="Times New Roman" w:hAnsi="Times New Roman" w:cs="Times New Roman"/>
          <w:lang w:val="pl-PL"/>
        </w:rPr>
        <w:br/>
      </w:r>
      <w:r w:rsidRPr="00AE18F6">
        <w:rPr>
          <w:rFonts w:ascii="Times New Roman" w:hAnsi="Times New Roman" w:cs="Times New Roman"/>
          <w:lang w:val="pl-PL"/>
        </w:rPr>
        <w:br/>
        <w:t>POZWANY w potencjalnym postępowaniu sądowym planuje oprzeć się na następujących twierdzeniach:</w:t>
      </w:r>
    </w:p>
    <w:p w14:paraId="39583E3D" w14:textId="77777777" w:rsidR="007D3A3F" w:rsidRPr="00AE18F6" w:rsidRDefault="007D3A3F" w:rsidP="007D3A3F">
      <w:pPr>
        <w:pStyle w:val="Akapitzlist"/>
        <w:numPr>
          <w:ilvl w:val="0"/>
          <w:numId w:val="4"/>
        </w:numPr>
        <w:spacing w:line="360" w:lineRule="auto"/>
        <w:jc w:val="both"/>
        <w:rPr>
          <w:rFonts w:ascii="Times New Roman" w:hAnsi="Times New Roman" w:cs="Times New Roman"/>
          <w:lang w:val="pl-PL"/>
        </w:rPr>
      </w:pPr>
      <w:r w:rsidRPr="00AE18F6">
        <w:rPr>
          <w:rFonts w:ascii="Times New Roman" w:hAnsi="Times New Roman" w:cs="Times New Roman"/>
          <w:lang w:val="pl-PL"/>
        </w:rPr>
        <w:t xml:space="preserve">sprawa jest </w:t>
      </w:r>
      <w:r w:rsidRPr="00AE18F6">
        <w:rPr>
          <w:rFonts w:ascii="Times New Roman" w:hAnsi="Times New Roman" w:cs="Times New Roman"/>
          <w:i/>
          <w:lang w:val="pl-PL"/>
        </w:rPr>
        <w:t>res iudicata</w:t>
      </w:r>
      <w:r w:rsidRPr="00AE18F6">
        <w:rPr>
          <w:rFonts w:ascii="Times New Roman" w:hAnsi="Times New Roman" w:cs="Times New Roman"/>
          <w:lang w:val="pl-PL"/>
        </w:rPr>
        <w:t xml:space="preserve">, ponieważ została już prawomocnie rozstrzygnięta w ramach procedury </w:t>
      </w:r>
      <w:r w:rsidR="00491F33" w:rsidRPr="00AE18F6">
        <w:rPr>
          <w:rFonts w:ascii="Times New Roman" w:hAnsi="Times New Roman" w:cs="Times New Roman"/>
          <w:lang w:val="pl-PL"/>
        </w:rPr>
        <w:t xml:space="preserve">na stronie </w:t>
      </w:r>
      <w:r w:rsidRPr="00AE18F6">
        <w:rPr>
          <w:rFonts w:ascii="Times New Roman" w:hAnsi="Times New Roman" w:cs="Times New Roman"/>
          <w:lang w:val="pl-PL"/>
        </w:rPr>
        <w:t>Jur Court, która kwalifikuje się jako forma wiążącego arbitrażu;</w:t>
      </w:r>
    </w:p>
    <w:p w14:paraId="09588859" w14:textId="464829E9" w:rsidR="007D3A3F" w:rsidRPr="00AE18F6" w:rsidRDefault="00734414" w:rsidP="007D3A3F">
      <w:pPr>
        <w:pStyle w:val="Akapitzlist"/>
        <w:numPr>
          <w:ilvl w:val="0"/>
          <w:numId w:val="4"/>
        </w:numPr>
        <w:spacing w:line="360" w:lineRule="auto"/>
        <w:jc w:val="both"/>
        <w:rPr>
          <w:rFonts w:ascii="Times New Roman" w:hAnsi="Times New Roman" w:cs="Times New Roman"/>
          <w:lang w:val="pl-PL"/>
        </w:rPr>
      </w:pPr>
      <w:r w:rsidRPr="00AE18F6">
        <w:rPr>
          <w:rFonts w:ascii="Times New Roman" w:hAnsi="Times New Roman" w:cs="Times New Roman"/>
          <w:lang w:val="pl-PL"/>
        </w:rPr>
        <w:t>e</w:t>
      </w:r>
      <w:r w:rsidR="007D3A3F" w:rsidRPr="00AE18F6">
        <w:rPr>
          <w:rFonts w:ascii="Times New Roman" w:hAnsi="Times New Roman" w:cs="Times New Roman"/>
          <w:lang w:val="pl-PL"/>
        </w:rPr>
        <w:t xml:space="preserve">wentualnie, gdyby </w:t>
      </w:r>
      <w:r w:rsidRPr="00AE18F6">
        <w:rPr>
          <w:rFonts w:ascii="Times New Roman" w:hAnsi="Times New Roman" w:cs="Times New Roman"/>
          <w:lang w:val="pl-PL"/>
        </w:rPr>
        <w:t>Sąd</w:t>
      </w:r>
      <w:r w:rsidR="007D3A3F" w:rsidRPr="00AE18F6">
        <w:rPr>
          <w:rFonts w:ascii="Times New Roman" w:hAnsi="Times New Roman" w:cs="Times New Roman"/>
          <w:lang w:val="pl-PL"/>
        </w:rPr>
        <w:t xml:space="preserve"> uznał, że sprawa nie ma powagi rzeczy osądzonej, </w:t>
      </w:r>
      <w:r w:rsidR="00AE18F6">
        <w:rPr>
          <w:rFonts w:ascii="Times New Roman" w:hAnsi="Times New Roman" w:cs="Times New Roman"/>
          <w:lang w:val="pl-PL"/>
        </w:rPr>
        <w:t xml:space="preserve">powództwo </w:t>
      </w:r>
      <w:r w:rsidR="00491F33" w:rsidRPr="00AE18F6">
        <w:rPr>
          <w:rFonts w:ascii="Times New Roman" w:hAnsi="Times New Roman" w:cs="Times New Roman"/>
          <w:lang w:val="pl-PL"/>
        </w:rPr>
        <w:t>POWODA</w:t>
      </w:r>
      <w:r w:rsidR="007D3A3F" w:rsidRPr="00AE18F6">
        <w:rPr>
          <w:rFonts w:ascii="Times New Roman" w:hAnsi="Times New Roman" w:cs="Times New Roman"/>
          <w:lang w:val="pl-PL"/>
        </w:rPr>
        <w:t xml:space="preserve"> </w:t>
      </w:r>
      <w:r w:rsidR="00AE18F6">
        <w:rPr>
          <w:rFonts w:ascii="Times New Roman" w:hAnsi="Times New Roman" w:cs="Times New Roman"/>
          <w:lang w:val="pl-PL"/>
        </w:rPr>
        <w:t>powinno</w:t>
      </w:r>
      <w:r w:rsidR="007D3A3F" w:rsidRPr="00AE18F6">
        <w:rPr>
          <w:rFonts w:ascii="Times New Roman" w:hAnsi="Times New Roman" w:cs="Times New Roman"/>
          <w:lang w:val="pl-PL"/>
        </w:rPr>
        <w:t xml:space="preserve"> zostać od</w:t>
      </w:r>
      <w:r w:rsidR="00AE18F6">
        <w:rPr>
          <w:rFonts w:ascii="Times New Roman" w:hAnsi="Times New Roman" w:cs="Times New Roman"/>
          <w:lang w:val="pl-PL"/>
        </w:rPr>
        <w:t>dalone</w:t>
      </w:r>
      <w:r w:rsidR="007D3A3F" w:rsidRPr="00AE18F6">
        <w:rPr>
          <w:rFonts w:ascii="Times New Roman" w:hAnsi="Times New Roman" w:cs="Times New Roman"/>
          <w:lang w:val="pl-PL"/>
        </w:rPr>
        <w:t>, ponieważ:</w:t>
      </w:r>
    </w:p>
    <w:p w14:paraId="24737E2C" w14:textId="7E2E81C8" w:rsidR="007D3A3F" w:rsidRPr="00AE18F6" w:rsidRDefault="00491F33" w:rsidP="007D3A3F">
      <w:pPr>
        <w:pStyle w:val="Akapitzlist"/>
        <w:numPr>
          <w:ilvl w:val="0"/>
          <w:numId w:val="6"/>
        </w:numPr>
        <w:spacing w:line="360" w:lineRule="auto"/>
        <w:jc w:val="both"/>
        <w:rPr>
          <w:rFonts w:ascii="Times New Roman" w:hAnsi="Times New Roman" w:cs="Times New Roman"/>
          <w:lang w:val="pl-PL"/>
        </w:rPr>
      </w:pPr>
      <w:r w:rsidRPr="00AE18F6">
        <w:rPr>
          <w:rFonts w:ascii="Times New Roman" w:hAnsi="Times New Roman" w:cs="Times New Roman"/>
          <w:lang w:val="pl-PL"/>
        </w:rPr>
        <w:t>POWÓD</w:t>
      </w:r>
      <w:r w:rsidR="007D3A3F" w:rsidRPr="00AE18F6">
        <w:rPr>
          <w:rFonts w:ascii="Times New Roman" w:hAnsi="Times New Roman" w:cs="Times New Roman"/>
          <w:lang w:val="pl-PL"/>
        </w:rPr>
        <w:t xml:space="preserve"> zgodził się na udostępnienie wszystkich danych </w:t>
      </w:r>
      <w:r w:rsidRPr="00AE18F6">
        <w:rPr>
          <w:rFonts w:ascii="Times New Roman" w:hAnsi="Times New Roman" w:cs="Times New Roman"/>
          <w:lang w:val="pl-PL"/>
        </w:rPr>
        <w:t>POZWANEMU.</w:t>
      </w:r>
      <w:r w:rsidR="007D3A3F" w:rsidRPr="00AE18F6">
        <w:rPr>
          <w:rFonts w:ascii="Times New Roman" w:hAnsi="Times New Roman" w:cs="Times New Roman"/>
          <w:lang w:val="pl-PL"/>
        </w:rPr>
        <w:t xml:space="preserve"> Standardową praktyką ubezpieczycieli jest wykorzystywanie wszystkich dostępnych danych w celu wyceny ryzyka i uniknięcia niepotrzebnych wypłat</w:t>
      </w:r>
      <w:r w:rsidR="00734414" w:rsidRPr="00AE18F6">
        <w:rPr>
          <w:rFonts w:ascii="Times New Roman" w:hAnsi="Times New Roman" w:cs="Times New Roman"/>
          <w:lang w:val="pl-PL"/>
        </w:rPr>
        <w:t>;</w:t>
      </w:r>
    </w:p>
    <w:p w14:paraId="7DBC2E87" w14:textId="7AA0A6CE" w:rsidR="007D3A3F" w:rsidRPr="00AE18F6" w:rsidRDefault="00491F33" w:rsidP="007D3A3F">
      <w:pPr>
        <w:pStyle w:val="Akapitzlist"/>
        <w:numPr>
          <w:ilvl w:val="0"/>
          <w:numId w:val="6"/>
        </w:numPr>
        <w:spacing w:line="360" w:lineRule="auto"/>
        <w:jc w:val="both"/>
        <w:rPr>
          <w:rFonts w:ascii="Times New Roman" w:hAnsi="Times New Roman" w:cs="Times New Roman"/>
          <w:lang w:val="pl-PL"/>
        </w:rPr>
      </w:pPr>
      <w:r w:rsidRPr="00AE18F6">
        <w:rPr>
          <w:rFonts w:ascii="Times New Roman" w:hAnsi="Times New Roman" w:cs="Times New Roman"/>
          <w:lang w:val="pl-PL"/>
        </w:rPr>
        <w:t>POWÓD</w:t>
      </w:r>
      <w:r w:rsidR="007D3A3F" w:rsidRPr="00AE18F6">
        <w:rPr>
          <w:rFonts w:ascii="Times New Roman" w:hAnsi="Times New Roman" w:cs="Times New Roman"/>
          <w:lang w:val="pl-PL"/>
        </w:rPr>
        <w:t xml:space="preserve"> powinien był wiedzieć, że ubezpieczyciele używają zautomatyzowanych aplikacji, takich jak Paulo, w celu uczynienia sprzedaży ubezpieczeń bardziej ekscytującą dla klientów i tańszą dla siebie. Gdyby </w:t>
      </w:r>
      <w:r w:rsidRPr="00AE18F6">
        <w:rPr>
          <w:rFonts w:ascii="Times New Roman" w:hAnsi="Times New Roman" w:cs="Times New Roman"/>
          <w:lang w:val="pl-PL"/>
        </w:rPr>
        <w:t>POWÓD</w:t>
      </w:r>
      <w:r w:rsidR="007D3A3F" w:rsidRPr="00AE18F6">
        <w:rPr>
          <w:rFonts w:ascii="Times New Roman" w:hAnsi="Times New Roman" w:cs="Times New Roman"/>
          <w:lang w:val="pl-PL"/>
        </w:rPr>
        <w:t xml:space="preserve"> chciał bardziej osobistego podejścia, powinien był odwiedzić oddział w jednym z wielu centrów handlowych lub przy głównych ulicac</w:t>
      </w:r>
      <w:r w:rsidR="00396D5B" w:rsidRPr="00AE18F6">
        <w:rPr>
          <w:rFonts w:ascii="Times New Roman" w:hAnsi="Times New Roman" w:cs="Times New Roman"/>
          <w:lang w:val="pl-PL"/>
        </w:rPr>
        <w:t>h;</w:t>
      </w:r>
    </w:p>
    <w:p w14:paraId="3751FB5D" w14:textId="77777777" w:rsidR="007D3A3F" w:rsidRPr="00AE18F6" w:rsidRDefault="00491F33" w:rsidP="007D3A3F">
      <w:pPr>
        <w:pStyle w:val="Akapitzlist"/>
        <w:numPr>
          <w:ilvl w:val="0"/>
          <w:numId w:val="6"/>
        </w:numPr>
        <w:spacing w:line="360" w:lineRule="auto"/>
        <w:jc w:val="both"/>
        <w:rPr>
          <w:rFonts w:ascii="Times New Roman" w:hAnsi="Times New Roman" w:cs="Times New Roman"/>
          <w:lang w:val="pl-PL"/>
        </w:rPr>
      </w:pPr>
      <w:r w:rsidRPr="00AE18F6">
        <w:rPr>
          <w:rFonts w:ascii="Times New Roman" w:hAnsi="Times New Roman" w:cs="Times New Roman"/>
          <w:lang w:val="pl-PL"/>
        </w:rPr>
        <w:t>POWÓD</w:t>
      </w:r>
      <w:r w:rsidR="007D3A3F" w:rsidRPr="00AE18F6">
        <w:rPr>
          <w:rFonts w:ascii="Times New Roman" w:hAnsi="Times New Roman" w:cs="Times New Roman"/>
          <w:lang w:val="pl-PL"/>
        </w:rPr>
        <w:t xml:space="preserve"> miał możliwość wycofania się z umowy ubezpieczeniowej, jeżeli mu się ona nie podobała, czego nie uczynił.</w:t>
      </w:r>
    </w:p>
    <w:p w14:paraId="5F24DE3F" w14:textId="77777777" w:rsidR="007D3A3F" w:rsidRPr="00AE18F6" w:rsidRDefault="007D3A3F" w:rsidP="007D3A3F">
      <w:pPr>
        <w:rPr>
          <w:lang w:val="pl-PL"/>
        </w:rPr>
      </w:pPr>
    </w:p>
    <w:p w14:paraId="246F1152" w14:textId="77777777" w:rsidR="007D3A3F" w:rsidRPr="00AE18F6" w:rsidRDefault="007D3A3F" w:rsidP="007D3A3F">
      <w:pPr>
        <w:rPr>
          <w:lang w:val="pl-PL"/>
        </w:rPr>
      </w:pPr>
    </w:p>
    <w:p w14:paraId="53F848FC" w14:textId="77777777" w:rsidR="00A00C6B" w:rsidRPr="00AE18F6" w:rsidRDefault="00A00C6B" w:rsidP="00A00C6B">
      <w:pPr>
        <w:pStyle w:val="Nagwek1"/>
        <w:rPr>
          <w:rFonts w:ascii="Times New Roman" w:hAnsi="Times New Roman" w:cs="Times New Roman"/>
          <w:sz w:val="24"/>
          <w:szCs w:val="24"/>
          <w:lang w:val="pl-PL"/>
        </w:rPr>
      </w:pPr>
      <w:bookmarkStart w:id="2" w:name="_Toc94131771"/>
      <w:r w:rsidRPr="00AE18F6">
        <w:rPr>
          <w:rFonts w:ascii="Times New Roman" w:hAnsi="Times New Roman" w:cs="Times New Roman"/>
          <w:sz w:val="24"/>
          <w:szCs w:val="24"/>
          <w:lang w:val="pl-PL"/>
        </w:rPr>
        <w:lastRenderedPageBreak/>
        <w:t>ORZECZENIE SĄDU</w:t>
      </w:r>
      <w:bookmarkEnd w:id="2"/>
    </w:p>
    <w:p w14:paraId="7714CF59" w14:textId="77777777" w:rsidR="007D3A3F" w:rsidRPr="00AE18F6" w:rsidRDefault="007D3A3F" w:rsidP="007D3A3F">
      <w:pPr>
        <w:rPr>
          <w:lang w:val="pl-PL"/>
        </w:rPr>
      </w:pPr>
    </w:p>
    <w:p w14:paraId="7463876F" w14:textId="77777777" w:rsidR="007D3A3F" w:rsidRPr="00AE18F6" w:rsidRDefault="007D3A3F" w:rsidP="007D3A3F">
      <w:pPr>
        <w:rPr>
          <w:lang w:val="pl-PL"/>
        </w:rPr>
      </w:pPr>
    </w:p>
    <w:p w14:paraId="294FA224" w14:textId="1AFF6969" w:rsidR="00695DD4" w:rsidRPr="00AE18F6" w:rsidRDefault="00695DD4" w:rsidP="00396D5B">
      <w:pPr>
        <w:spacing w:line="360" w:lineRule="auto"/>
        <w:ind w:left="284" w:firstLine="142"/>
        <w:jc w:val="both"/>
        <w:rPr>
          <w:rFonts w:ascii="Times New Roman" w:hAnsi="Times New Roman" w:cs="Times New Roman"/>
          <w:lang w:val="pl-PL"/>
        </w:rPr>
      </w:pPr>
      <w:r w:rsidRPr="00AE18F6">
        <w:rPr>
          <w:rFonts w:ascii="Times New Roman" w:hAnsi="Times New Roman" w:cs="Times New Roman"/>
          <w:lang w:val="pl-PL"/>
        </w:rPr>
        <w:t xml:space="preserve">W związku z powyższym Sąd zarządza, aby strony złożyły </w:t>
      </w:r>
      <w:r w:rsidR="00AE18F6">
        <w:rPr>
          <w:rFonts w:ascii="Times New Roman" w:hAnsi="Times New Roman" w:cs="Times New Roman"/>
          <w:lang w:val="pl-PL"/>
        </w:rPr>
        <w:t>pozew i odpowiedź na pozew</w:t>
      </w:r>
      <w:r w:rsidRPr="00AE18F6">
        <w:rPr>
          <w:rFonts w:ascii="Times New Roman" w:hAnsi="Times New Roman" w:cs="Times New Roman"/>
          <w:lang w:val="pl-PL"/>
        </w:rPr>
        <w:t>. Sąd wzywa strony do odniesienia się w swoich pismach do następujących kwestii:</w:t>
      </w:r>
    </w:p>
    <w:p w14:paraId="6F0BF972" w14:textId="77777777" w:rsidR="00695DD4" w:rsidRPr="00AE18F6" w:rsidRDefault="00695DD4" w:rsidP="00396D5B">
      <w:pPr>
        <w:pStyle w:val="Akapitzlist"/>
        <w:numPr>
          <w:ilvl w:val="0"/>
          <w:numId w:val="8"/>
        </w:numPr>
        <w:spacing w:line="360" w:lineRule="auto"/>
        <w:ind w:left="284" w:firstLine="142"/>
        <w:jc w:val="both"/>
        <w:rPr>
          <w:rFonts w:ascii="Times New Roman" w:hAnsi="Times New Roman" w:cs="Times New Roman"/>
          <w:lang w:val="pl-PL"/>
        </w:rPr>
      </w:pPr>
      <w:r w:rsidRPr="00AE18F6">
        <w:rPr>
          <w:rFonts w:ascii="Times New Roman" w:hAnsi="Times New Roman" w:cs="Times New Roman"/>
          <w:lang w:val="pl-PL"/>
        </w:rPr>
        <w:t>Czy sprawa jest objęta powagą rzeczy osądzonej? W szczególności w odniesieniu do kwestii, czy:</w:t>
      </w:r>
    </w:p>
    <w:p w14:paraId="396D775C" w14:textId="77777777" w:rsidR="00695DD4" w:rsidRPr="00AE18F6" w:rsidRDefault="00695DD4" w:rsidP="00396D5B">
      <w:pPr>
        <w:pStyle w:val="Akapitzlist"/>
        <w:numPr>
          <w:ilvl w:val="0"/>
          <w:numId w:val="9"/>
        </w:numPr>
        <w:spacing w:line="360" w:lineRule="auto"/>
        <w:ind w:left="993" w:hanging="284"/>
        <w:jc w:val="both"/>
        <w:rPr>
          <w:rFonts w:ascii="Times New Roman" w:hAnsi="Times New Roman" w:cs="Times New Roman"/>
          <w:lang w:val="pl-PL"/>
        </w:rPr>
      </w:pPr>
      <w:r w:rsidRPr="00AE18F6">
        <w:rPr>
          <w:rFonts w:ascii="Times New Roman" w:hAnsi="Times New Roman" w:cs="Times New Roman"/>
          <w:lang w:val="pl-PL"/>
        </w:rPr>
        <w:t xml:space="preserve">procedura Jur Court, w której </w:t>
      </w:r>
      <w:r w:rsidR="00C40CC5" w:rsidRPr="00AE18F6">
        <w:rPr>
          <w:rFonts w:ascii="Times New Roman" w:hAnsi="Times New Roman" w:cs="Times New Roman"/>
          <w:lang w:val="pl-PL"/>
        </w:rPr>
        <w:t>sędziowie</w:t>
      </w:r>
      <w:r w:rsidRPr="00AE18F6">
        <w:rPr>
          <w:rFonts w:ascii="Times New Roman" w:hAnsi="Times New Roman" w:cs="Times New Roman"/>
          <w:lang w:val="pl-PL"/>
        </w:rPr>
        <w:t xml:space="preserve"> są wybierani przez algorytm, może być kwalifikowana jako arbitraż;</w:t>
      </w:r>
    </w:p>
    <w:p w14:paraId="3788E275" w14:textId="77777777" w:rsidR="00695DD4" w:rsidRPr="00AE18F6" w:rsidRDefault="00695DD4" w:rsidP="00396D5B">
      <w:pPr>
        <w:pStyle w:val="Akapitzlist"/>
        <w:numPr>
          <w:ilvl w:val="0"/>
          <w:numId w:val="9"/>
        </w:numPr>
        <w:spacing w:line="360" w:lineRule="auto"/>
        <w:ind w:left="993" w:hanging="284"/>
        <w:jc w:val="both"/>
        <w:rPr>
          <w:rFonts w:ascii="Times New Roman" w:hAnsi="Times New Roman" w:cs="Times New Roman"/>
          <w:lang w:val="pl-PL"/>
        </w:rPr>
      </w:pPr>
      <w:r w:rsidRPr="00AE18F6">
        <w:rPr>
          <w:rFonts w:ascii="Times New Roman" w:hAnsi="Times New Roman" w:cs="Times New Roman"/>
          <w:lang w:val="pl-PL"/>
        </w:rPr>
        <w:t>procedura Jur Court, w której nie przeprowadza się rozpraw ustnych, może być zakwalifikowana jako arbitraż;</w:t>
      </w:r>
    </w:p>
    <w:p w14:paraId="19647AC6" w14:textId="77777777" w:rsidR="00695DD4" w:rsidRPr="00AE18F6" w:rsidRDefault="00695DD4" w:rsidP="00396D5B">
      <w:pPr>
        <w:pStyle w:val="Akapitzlist"/>
        <w:numPr>
          <w:ilvl w:val="0"/>
          <w:numId w:val="9"/>
        </w:numPr>
        <w:spacing w:line="360" w:lineRule="auto"/>
        <w:ind w:left="993" w:hanging="284"/>
        <w:jc w:val="both"/>
        <w:rPr>
          <w:rFonts w:ascii="Times New Roman" w:hAnsi="Times New Roman" w:cs="Times New Roman"/>
          <w:lang w:val="pl-PL"/>
        </w:rPr>
      </w:pPr>
      <w:r w:rsidRPr="00AE18F6">
        <w:rPr>
          <w:rFonts w:ascii="Times New Roman" w:hAnsi="Times New Roman" w:cs="Times New Roman"/>
          <w:lang w:val="pl-PL"/>
        </w:rPr>
        <w:t>wynik postępowania Jur Court może być uznany w tym postępowaniu sądowym za</w:t>
      </w:r>
      <w:r w:rsidR="00C40CC5" w:rsidRPr="00AE18F6">
        <w:rPr>
          <w:rFonts w:ascii="Times New Roman" w:hAnsi="Times New Roman" w:cs="Times New Roman"/>
          <w:lang w:val="pl-PL"/>
        </w:rPr>
        <w:t xml:space="preserve"> wiążące orzeczenie arbitrażowe;</w:t>
      </w:r>
    </w:p>
    <w:p w14:paraId="3EC6B05B" w14:textId="77777777" w:rsidR="00695DD4" w:rsidRPr="00AE18F6" w:rsidRDefault="00C40CC5" w:rsidP="00396D5B">
      <w:pPr>
        <w:pStyle w:val="Akapitzlist"/>
        <w:numPr>
          <w:ilvl w:val="0"/>
          <w:numId w:val="9"/>
        </w:numPr>
        <w:spacing w:line="360" w:lineRule="auto"/>
        <w:ind w:left="993" w:hanging="284"/>
        <w:jc w:val="both"/>
        <w:rPr>
          <w:rFonts w:ascii="Times New Roman" w:hAnsi="Times New Roman" w:cs="Times New Roman"/>
          <w:lang w:val="pl-PL"/>
        </w:rPr>
      </w:pPr>
      <w:r w:rsidRPr="00AE18F6">
        <w:rPr>
          <w:rFonts w:ascii="Times New Roman" w:hAnsi="Times New Roman" w:cs="Times New Roman"/>
          <w:lang w:val="pl-PL"/>
        </w:rPr>
        <w:t xml:space="preserve">procedura Jur Court </w:t>
      </w:r>
      <w:r w:rsidR="00695DD4" w:rsidRPr="00AE18F6">
        <w:rPr>
          <w:rFonts w:ascii="Times New Roman" w:hAnsi="Times New Roman" w:cs="Times New Roman"/>
          <w:lang w:val="pl-PL"/>
        </w:rPr>
        <w:t>może być wykorzystywana do rozstrzygania sporów konsumenckich na skalę masową (w tym typowych konsu</w:t>
      </w:r>
      <w:r w:rsidRPr="00AE18F6">
        <w:rPr>
          <w:rFonts w:ascii="Times New Roman" w:hAnsi="Times New Roman" w:cs="Times New Roman"/>
          <w:lang w:val="pl-PL"/>
        </w:rPr>
        <w:t>menckich produktów finansowych);</w:t>
      </w:r>
    </w:p>
    <w:p w14:paraId="67687643" w14:textId="590DF677" w:rsidR="00695DD4" w:rsidRPr="00AE18F6" w:rsidRDefault="00695DD4" w:rsidP="00396D5B">
      <w:pPr>
        <w:pStyle w:val="Akapitzlist"/>
        <w:numPr>
          <w:ilvl w:val="0"/>
          <w:numId w:val="8"/>
        </w:numPr>
        <w:spacing w:line="360" w:lineRule="auto"/>
        <w:ind w:left="284" w:firstLine="142"/>
        <w:jc w:val="both"/>
        <w:rPr>
          <w:rFonts w:ascii="Times New Roman" w:hAnsi="Times New Roman" w:cs="Times New Roman"/>
          <w:lang w:val="pl-PL"/>
        </w:rPr>
      </w:pPr>
      <w:r w:rsidRPr="00AE18F6">
        <w:rPr>
          <w:rFonts w:ascii="Times New Roman" w:hAnsi="Times New Roman" w:cs="Times New Roman"/>
          <w:lang w:val="pl-PL"/>
        </w:rPr>
        <w:t xml:space="preserve">Jakie </w:t>
      </w:r>
      <w:proofErr w:type="gramStart"/>
      <w:r w:rsidRPr="00AE18F6">
        <w:rPr>
          <w:rFonts w:ascii="Times New Roman" w:hAnsi="Times New Roman" w:cs="Times New Roman"/>
          <w:lang w:val="pl-PL"/>
        </w:rPr>
        <w:t>dane,</w:t>
      </w:r>
      <w:proofErr w:type="gramEnd"/>
      <w:r w:rsidRPr="00AE18F6">
        <w:rPr>
          <w:rFonts w:ascii="Times New Roman" w:hAnsi="Times New Roman" w:cs="Times New Roman"/>
          <w:lang w:val="pl-PL"/>
        </w:rPr>
        <w:t xml:space="preserve"> i w jakim celu, mogą być wykorzystywane przez ubezpieczycieli do </w:t>
      </w:r>
      <w:r w:rsidR="00AE18F6">
        <w:rPr>
          <w:rFonts w:ascii="Times New Roman" w:hAnsi="Times New Roman" w:cs="Times New Roman"/>
          <w:lang w:val="pl-PL"/>
        </w:rPr>
        <w:t xml:space="preserve">oceny </w:t>
      </w:r>
      <w:r w:rsidRPr="00AE18F6">
        <w:rPr>
          <w:rFonts w:ascii="Times New Roman" w:hAnsi="Times New Roman" w:cs="Times New Roman"/>
          <w:lang w:val="pl-PL"/>
        </w:rPr>
        <w:t>ryzyka lub innych celów handlowych? Jakie są wymogi prawne dotyczące wykorzystywania takich danych?</w:t>
      </w:r>
    </w:p>
    <w:p w14:paraId="2D8DD510" w14:textId="77777777" w:rsidR="00695DD4" w:rsidRPr="00AE18F6" w:rsidRDefault="00695DD4" w:rsidP="00396D5B">
      <w:pPr>
        <w:pStyle w:val="Akapitzlist"/>
        <w:numPr>
          <w:ilvl w:val="0"/>
          <w:numId w:val="8"/>
        </w:numPr>
        <w:spacing w:line="360" w:lineRule="auto"/>
        <w:ind w:left="284" w:firstLine="142"/>
        <w:jc w:val="both"/>
        <w:rPr>
          <w:rFonts w:ascii="Times New Roman" w:hAnsi="Times New Roman" w:cs="Times New Roman"/>
          <w:lang w:val="pl-PL"/>
        </w:rPr>
      </w:pPr>
      <w:r w:rsidRPr="00AE18F6">
        <w:rPr>
          <w:rFonts w:ascii="Times New Roman" w:hAnsi="Times New Roman" w:cs="Times New Roman"/>
          <w:lang w:val="pl-PL"/>
        </w:rPr>
        <w:t xml:space="preserve">Jakie są wymogi prawne dotyczące wdrażania zautomatyzowanych aplikacji w celu zawierania umów z konsumentami? </w:t>
      </w:r>
    </w:p>
    <w:p w14:paraId="35338FCB" w14:textId="77777777" w:rsidR="00695DD4" w:rsidRPr="00AE18F6" w:rsidRDefault="00695DD4" w:rsidP="00396D5B">
      <w:pPr>
        <w:pStyle w:val="Akapitzlist"/>
        <w:numPr>
          <w:ilvl w:val="0"/>
          <w:numId w:val="8"/>
        </w:numPr>
        <w:spacing w:line="360" w:lineRule="auto"/>
        <w:ind w:left="284" w:firstLine="142"/>
        <w:jc w:val="both"/>
        <w:rPr>
          <w:rFonts w:ascii="Times New Roman" w:hAnsi="Times New Roman" w:cs="Times New Roman"/>
          <w:lang w:val="pl-PL"/>
        </w:rPr>
      </w:pPr>
      <w:r w:rsidRPr="00AE18F6">
        <w:rPr>
          <w:rFonts w:ascii="Times New Roman" w:hAnsi="Times New Roman" w:cs="Times New Roman"/>
          <w:lang w:val="pl-PL"/>
        </w:rPr>
        <w:t>Czy standardowe warunki ubezpieczenia były w tym przypadku wiążące dla Horacego?</w:t>
      </w:r>
    </w:p>
    <w:p w14:paraId="16203571" w14:textId="77777777" w:rsidR="005B715C" w:rsidRPr="00AE18F6" w:rsidRDefault="00695DD4" w:rsidP="00396D5B">
      <w:pPr>
        <w:pStyle w:val="Akapitzlist"/>
        <w:numPr>
          <w:ilvl w:val="0"/>
          <w:numId w:val="8"/>
        </w:numPr>
        <w:spacing w:line="360" w:lineRule="auto"/>
        <w:ind w:left="284" w:firstLine="142"/>
        <w:jc w:val="both"/>
        <w:rPr>
          <w:rFonts w:ascii="Times New Roman" w:hAnsi="Times New Roman" w:cs="Times New Roman"/>
          <w:lang w:val="pl-PL"/>
        </w:rPr>
      </w:pPr>
      <w:r w:rsidRPr="00AE18F6">
        <w:rPr>
          <w:rFonts w:ascii="Times New Roman" w:hAnsi="Times New Roman" w:cs="Times New Roman"/>
          <w:lang w:val="pl-PL"/>
        </w:rPr>
        <w:t>Na jakie roszczenia</w:t>
      </w:r>
      <w:r w:rsidR="00C40CC5" w:rsidRPr="00AE18F6">
        <w:rPr>
          <w:rFonts w:ascii="Times New Roman" w:hAnsi="Times New Roman" w:cs="Times New Roman"/>
          <w:lang w:val="pl-PL"/>
        </w:rPr>
        <w:t xml:space="preserve"> prawne może powoływać się Horacy</w:t>
      </w:r>
      <w:r w:rsidRPr="00AE18F6">
        <w:rPr>
          <w:rFonts w:ascii="Times New Roman" w:hAnsi="Times New Roman" w:cs="Times New Roman"/>
          <w:lang w:val="pl-PL"/>
        </w:rPr>
        <w:t xml:space="preserve"> w przedmiotowej sprawie?</w:t>
      </w:r>
    </w:p>
    <w:sectPr w:rsidR="005B715C" w:rsidRPr="00AE18F6" w:rsidSect="00C866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DFAA" w14:textId="77777777" w:rsidR="00DF7043" w:rsidRDefault="00DF7043" w:rsidP="00DE5C79">
      <w:r>
        <w:separator/>
      </w:r>
    </w:p>
  </w:endnote>
  <w:endnote w:type="continuationSeparator" w:id="0">
    <w:p w14:paraId="4C66383A" w14:textId="77777777" w:rsidR="00DF7043" w:rsidRDefault="00DF7043" w:rsidP="00DE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537"/>
      <w:docPartObj>
        <w:docPartGallery w:val="Page Numbers (Bottom of Page)"/>
        <w:docPartUnique/>
      </w:docPartObj>
    </w:sdtPr>
    <w:sdtEndPr/>
    <w:sdtContent>
      <w:p w14:paraId="7EB68A4E" w14:textId="77777777" w:rsidR="00695DD4" w:rsidRDefault="00FD44B2">
        <w:pPr>
          <w:pStyle w:val="Stopka"/>
          <w:jc w:val="center"/>
        </w:pPr>
        <w:r w:rsidRPr="00695DD4">
          <w:rPr>
            <w:rFonts w:ascii="Times New Roman" w:hAnsi="Times New Roman" w:cs="Times New Roman"/>
          </w:rPr>
          <w:fldChar w:fldCharType="begin"/>
        </w:r>
        <w:r w:rsidR="00695DD4" w:rsidRPr="00695DD4">
          <w:rPr>
            <w:rFonts w:ascii="Times New Roman" w:hAnsi="Times New Roman" w:cs="Times New Roman"/>
          </w:rPr>
          <w:instrText xml:space="preserve"> PAGE   \* MERGEFORMAT </w:instrText>
        </w:r>
        <w:r w:rsidRPr="00695DD4">
          <w:rPr>
            <w:rFonts w:ascii="Times New Roman" w:hAnsi="Times New Roman" w:cs="Times New Roman"/>
          </w:rPr>
          <w:fldChar w:fldCharType="separate"/>
        </w:r>
        <w:r w:rsidR="009168F3">
          <w:rPr>
            <w:rFonts w:ascii="Times New Roman" w:hAnsi="Times New Roman" w:cs="Times New Roman"/>
            <w:noProof/>
          </w:rPr>
          <w:t>1</w:t>
        </w:r>
        <w:r w:rsidRPr="00695DD4">
          <w:rPr>
            <w:rFonts w:ascii="Times New Roman" w:hAnsi="Times New Roman" w:cs="Times New Roman"/>
          </w:rPr>
          <w:fldChar w:fldCharType="end"/>
        </w:r>
      </w:p>
    </w:sdtContent>
  </w:sdt>
  <w:p w14:paraId="3BE4CC65" w14:textId="77777777" w:rsidR="00695DD4" w:rsidRDefault="00695D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A4CE" w14:textId="77777777" w:rsidR="00DF7043" w:rsidRDefault="00DF7043" w:rsidP="00DE5C79">
      <w:r>
        <w:separator/>
      </w:r>
    </w:p>
  </w:footnote>
  <w:footnote w:type="continuationSeparator" w:id="0">
    <w:p w14:paraId="57BD0574" w14:textId="77777777" w:rsidR="00DF7043" w:rsidRDefault="00DF7043" w:rsidP="00DE5C79">
      <w:r>
        <w:continuationSeparator/>
      </w:r>
    </w:p>
  </w:footnote>
  <w:footnote w:id="1">
    <w:p w14:paraId="25B3E190" w14:textId="77777777" w:rsidR="006E44AD" w:rsidRPr="006E44AD" w:rsidRDefault="006E44AD">
      <w:pPr>
        <w:pStyle w:val="Tekstprzypisudolnego"/>
      </w:pPr>
      <w:r>
        <w:rPr>
          <w:rStyle w:val="Odwoanieprzypisudolnego"/>
        </w:rPr>
        <w:footnoteRef/>
      </w:r>
      <w:r>
        <w:t xml:space="preserve"> </w:t>
      </w:r>
      <w:hyperlink r:id="rId1" w:history="1">
        <w:r w:rsidRPr="0017044B">
          <w:rPr>
            <w:rStyle w:val="Hipercze"/>
            <w:rFonts w:ascii="Times New Roman" w:hAnsi="Times New Roman" w:cs="Times New Roman"/>
            <w:lang w:val="en-US"/>
          </w:rPr>
          <w:t>https://bit.ly/jur-wp-v203</w:t>
        </w:r>
      </w:hyperlink>
      <w:r w:rsidRPr="0017044B">
        <w:rPr>
          <w:rFonts w:ascii="Times New Roman" w:hAnsi="Times New Roman" w:cs="Times New Roman"/>
          <w:lang w:val="en-US"/>
        </w:rPr>
        <w:t xml:space="preserve">. See also: </w:t>
      </w:r>
      <w:hyperlink r:id="rId2" w:history="1">
        <w:r w:rsidRPr="0017044B">
          <w:rPr>
            <w:rStyle w:val="Hipercze"/>
            <w:rFonts w:ascii="Times New Roman" w:hAnsi="Times New Roman" w:cs="Times New Roman"/>
            <w:lang w:val="en-US"/>
          </w:rPr>
          <w:t>https://jur.io/products/court-layer/</w:t>
        </w:r>
      </w:hyperlink>
      <w:r w:rsidRPr="0017044B">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079"/>
    <w:multiLevelType w:val="hybridMultilevel"/>
    <w:tmpl w:val="B36A7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221A6"/>
    <w:multiLevelType w:val="hybridMultilevel"/>
    <w:tmpl w:val="D2046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571A3"/>
    <w:multiLevelType w:val="hybridMultilevel"/>
    <w:tmpl w:val="EF3ED3B6"/>
    <w:lvl w:ilvl="0" w:tplc="BB9CDD62">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D1714E"/>
    <w:multiLevelType w:val="hybridMultilevel"/>
    <w:tmpl w:val="E9B6716E"/>
    <w:lvl w:ilvl="0" w:tplc="1C809E1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7D7B12"/>
    <w:multiLevelType w:val="hybridMultilevel"/>
    <w:tmpl w:val="3AC279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E54EC8"/>
    <w:multiLevelType w:val="hybridMultilevel"/>
    <w:tmpl w:val="09707440"/>
    <w:lvl w:ilvl="0" w:tplc="BB9CDD62">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924EBF"/>
    <w:multiLevelType w:val="hybridMultilevel"/>
    <w:tmpl w:val="3C505A74"/>
    <w:lvl w:ilvl="0" w:tplc="77461F52">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686428"/>
    <w:multiLevelType w:val="hybridMultilevel"/>
    <w:tmpl w:val="5066EB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566779"/>
    <w:multiLevelType w:val="hybridMultilevel"/>
    <w:tmpl w:val="74B01F9A"/>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6"/>
  </w:num>
  <w:num w:numId="2">
    <w:abstractNumId w:val="4"/>
  </w:num>
  <w:num w:numId="3">
    <w:abstractNumId w:val="7"/>
  </w:num>
  <w:num w:numId="4">
    <w:abstractNumId w:val="0"/>
  </w:num>
  <w:num w:numId="5">
    <w:abstractNumId w:val="1"/>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A69"/>
    <w:rsid w:val="000268D3"/>
    <w:rsid w:val="00051780"/>
    <w:rsid w:val="00067582"/>
    <w:rsid w:val="00101BBB"/>
    <w:rsid w:val="002624DF"/>
    <w:rsid w:val="002815F5"/>
    <w:rsid w:val="00396D5B"/>
    <w:rsid w:val="0046036A"/>
    <w:rsid w:val="00483F1C"/>
    <w:rsid w:val="00491F33"/>
    <w:rsid w:val="00552452"/>
    <w:rsid w:val="005B715C"/>
    <w:rsid w:val="006274E2"/>
    <w:rsid w:val="00695DD4"/>
    <w:rsid w:val="006D6A13"/>
    <w:rsid w:val="006E44AD"/>
    <w:rsid w:val="00734414"/>
    <w:rsid w:val="0074393E"/>
    <w:rsid w:val="00773B98"/>
    <w:rsid w:val="007C222D"/>
    <w:rsid w:val="007D3A3F"/>
    <w:rsid w:val="00826F01"/>
    <w:rsid w:val="008409FF"/>
    <w:rsid w:val="00895D8F"/>
    <w:rsid w:val="008A4086"/>
    <w:rsid w:val="008B44E5"/>
    <w:rsid w:val="008C751B"/>
    <w:rsid w:val="009168F3"/>
    <w:rsid w:val="00986140"/>
    <w:rsid w:val="009D050B"/>
    <w:rsid w:val="00A00C6B"/>
    <w:rsid w:val="00A216CB"/>
    <w:rsid w:val="00AA1343"/>
    <w:rsid w:val="00AA1A73"/>
    <w:rsid w:val="00AE18F6"/>
    <w:rsid w:val="00B41262"/>
    <w:rsid w:val="00B42A69"/>
    <w:rsid w:val="00B50F99"/>
    <w:rsid w:val="00C40CC5"/>
    <w:rsid w:val="00C847D8"/>
    <w:rsid w:val="00C86668"/>
    <w:rsid w:val="00CD2D68"/>
    <w:rsid w:val="00D41C22"/>
    <w:rsid w:val="00D63766"/>
    <w:rsid w:val="00DB5EA5"/>
    <w:rsid w:val="00DE5C79"/>
    <w:rsid w:val="00DF7043"/>
    <w:rsid w:val="00EE4AAC"/>
    <w:rsid w:val="00F23D80"/>
    <w:rsid w:val="00F34B69"/>
    <w:rsid w:val="00F64CF0"/>
    <w:rsid w:val="00FD0F97"/>
    <w:rsid w:val="00FD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6DF7"/>
  <w15:docId w15:val="{14B9DE11-6BC4-BF44-9F35-679897F3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A69"/>
    <w:pPr>
      <w:spacing w:after="0" w:line="240" w:lineRule="auto"/>
    </w:pPr>
    <w:rPr>
      <w:sz w:val="24"/>
      <w:szCs w:val="24"/>
      <w:lang w:val="en-GB"/>
    </w:rPr>
  </w:style>
  <w:style w:type="paragraph" w:styleId="Nagwek1">
    <w:name w:val="heading 1"/>
    <w:basedOn w:val="Normalny"/>
    <w:next w:val="Normalny"/>
    <w:link w:val="Nagwek1Znak"/>
    <w:uiPriority w:val="9"/>
    <w:qFormat/>
    <w:rsid w:val="005B7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42A69"/>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Hipercze">
    <w:name w:val="Hyperlink"/>
    <w:basedOn w:val="Domylnaczcionkaakapitu"/>
    <w:uiPriority w:val="99"/>
    <w:unhideWhenUsed/>
    <w:rsid w:val="005B715C"/>
    <w:rPr>
      <w:color w:val="0000FF" w:themeColor="hyperlink"/>
      <w:u w:val="single"/>
    </w:rPr>
  </w:style>
  <w:style w:type="character" w:customStyle="1" w:styleId="Nagwek1Znak">
    <w:name w:val="Nagłówek 1 Znak"/>
    <w:basedOn w:val="Domylnaczcionkaakapitu"/>
    <w:link w:val="Nagwek1"/>
    <w:uiPriority w:val="9"/>
    <w:rsid w:val="005B715C"/>
    <w:rPr>
      <w:rFonts w:asciiTheme="majorHAnsi" w:eastAsiaTheme="majorEastAsia" w:hAnsiTheme="majorHAnsi" w:cstheme="majorBidi"/>
      <w:b/>
      <w:bCs/>
      <w:color w:val="365F91" w:themeColor="accent1" w:themeShade="BF"/>
      <w:sz w:val="28"/>
      <w:szCs w:val="28"/>
      <w:lang w:val="en-GB"/>
    </w:rPr>
  </w:style>
  <w:style w:type="paragraph" w:styleId="Nagwekspisutreci">
    <w:name w:val="TOC Heading"/>
    <w:basedOn w:val="Nagwek1"/>
    <w:next w:val="Normalny"/>
    <w:uiPriority w:val="39"/>
    <w:unhideWhenUsed/>
    <w:qFormat/>
    <w:rsid w:val="005B715C"/>
    <w:pPr>
      <w:spacing w:before="240" w:line="259" w:lineRule="auto"/>
      <w:outlineLvl w:val="9"/>
    </w:pPr>
    <w:rPr>
      <w:rFonts w:ascii="Times New Roman" w:hAnsi="Times New Roman"/>
      <w:bCs w:val="0"/>
      <w:color w:val="auto"/>
      <w:sz w:val="24"/>
      <w:szCs w:val="32"/>
      <w:lang w:val="en-US"/>
    </w:rPr>
  </w:style>
  <w:style w:type="paragraph" w:styleId="Spistreci1">
    <w:name w:val="toc 1"/>
    <w:basedOn w:val="Normalny"/>
    <w:next w:val="Normalny"/>
    <w:autoRedefine/>
    <w:uiPriority w:val="39"/>
    <w:unhideWhenUsed/>
    <w:rsid w:val="00396D5B"/>
    <w:pPr>
      <w:tabs>
        <w:tab w:val="right" w:leader="dot" w:pos="9062"/>
      </w:tabs>
      <w:spacing w:after="100"/>
    </w:pPr>
  </w:style>
  <w:style w:type="paragraph" w:styleId="Tekstdymka">
    <w:name w:val="Balloon Text"/>
    <w:basedOn w:val="Normalny"/>
    <w:link w:val="TekstdymkaZnak"/>
    <w:uiPriority w:val="99"/>
    <w:semiHidden/>
    <w:unhideWhenUsed/>
    <w:rsid w:val="005B715C"/>
    <w:rPr>
      <w:rFonts w:ascii="Tahoma" w:hAnsi="Tahoma" w:cs="Tahoma"/>
      <w:sz w:val="16"/>
      <w:szCs w:val="16"/>
    </w:rPr>
  </w:style>
  <w:style w:type="character" w:customStyle="1" w:styleId="TekstdymkaZnak">
    <w:name w:val="Tekst dymka Znak"/>
    <w:basedOn w:val="Domylnaczcionkaakapitu"/>
    <w:link w:val="Tekstdymka"/>
    <w:uiPriority w:val="99"/>
    <w:semiHidden/>
    <w:rsid w:val="005B715C"/>
    <w:rPr>
      <w:rFonts w:ascii="Tahoma" w:hAnsi="Tahoma" w:cs="Tahoma"/>
      <w:sz w:val="16"/>
      <w:szCs w:val="16"/>
      <w:lang w:val="en-GB"/>
    </w:rPr>
  </w:style>
  <w:style w:type="paragraph" w:styleId="Akapitzlist">
    <w:name w:val="List Paragraph"/>
    <w:basedOn w:val="Normalny"/>
    <w:uiPriority w:val="34"/>
    <w:qFormat/>
    <w:rsid w:val="00773B98"/>
    <w:pPr>
      <w:ind w:left="720"/>
      <w:contextualSpacing/>
    </w:pPr>
  </w:style>
  <w:style w:type="paragraph" w:styleId="Tekstprzypisukocowego">
    <w:name w:val="endnote text"/>
    <w:basedOn w:val="Normalny"/>
    <w:link w:val="TekstprzypisukocowegoZnak"/>
    <w:uiPriority w:val="99"/>
    <w:semiHidden/>
    <w:unhideWhenUsed/>
    <w:rsid w:val="00DE5C79"/>
    <w:rPr>
      <w:sz w:val="20"/>
      <w:szCs w:val="20"/>
    </w:rPr>
  </w:style>
  <w:style w:type="character" w:customStyle="1" w:styleId="TekstprzypisukocowegoZnak">
    <w:name w:val="Tekst przypisu końcowego Znak"/>
    <w:basedOn w:val="Domylnaczcionkaakapitu"/>
    <w:link w:val="Tekstprzypisukocowego"/>
    <w:uiPriority w:val="99"/>
    <w:semiHidden/>
    <w:rsid w:val="00DE5C79"/>
    <w:rPr>
      <w:sz w:val="20"/>
      <w:szCs w:val="20"/>
      <w:lang w:val="en-GB"/>
    </w:rPr>
  </w:style>
  <w:style w:type="character" w:styleId="Odwoanieprzypisukocowego">
    <w:name w:val="endnote reference"/>
    <w:basedOn w:val="Domylnaczcionkaakapitu"/>
    <w:uiPriority w:val="99"/>
    <w:semiHidden/>
    <w:unhideWhenUsed/>
    <w:rsid w:val="00DE5C79"/>
    <w:rPr>
      <w:vertAlign w:val="superscript"/>
    </w:rPr>
  </w:style>
  <w:style w:type="paragraph" w:styleId="Tekstprzypisudolnego">
    <w:name w:val="footnote text"/>
    <w:basedOn w:val="Normalny"/>
    <w:link w:val="TekstprzypisudolnegoZnak"/>
    <w:uiPriority w:val="99"/>
    <w:semiHidden/>
    <w:unhideWhenUsed/>
    <w:rsid w:val="006E44AD"/>
    <w:rPr>
      <w:sz w:val="20"/>
      <w:szCs w:val="20"/>
    </w:rPr>
  </w:style>
  <w:style w:type="character" w:customStyle="1" w:styleId="TekstprzypisudolnegoZnak">
    <w:name w:val="Tekst przypisu dolnego Znak"/>
    <w:basedOn w:val="Domylnaczcionkaakapitu"/>
    <w:link w:val="Tekstprzypisudolnego"/>
    <w:uiPriority w:val="99"/>
    <w:semiHidden/>
    <w:rsid w:val="006E44AD"/>
    <w:rPr>
      <w:sz w:val="20"/>
      <w:szCs w:val="20"/>
      <w:lang w:val="en-GB"/>
    </w:rPr>
  </w:style>
  <w:style w:type="character" w:styleId="Odwoanieprzypisudolnego">
    <w:name w:val="footnote reference"/>
    <w:basedOn w:val="Domylnaczcionkaakapitu"/>
    <w:uiPriority w:val="99"/>
    <w:semiHidden/>
    <w:unhideWhenUsed/>
    <w:rsid w:val="006E44AD"/>
    <w:rPr>
      <w:vertAlign w:val="superscript"/>
    </w:rPr>
  </w:style>
  <w:style w:type="paragraph" w:styleId="Nagwek">
    <w:name w:val="header"/>
    <w:basedOn w:val="Normalny"/>
    <w:link w:val="NagwekZnak"/>
    <w:uiPriority w:val="99"/>
    <w:semiHidden/>
    <w:unhideWhenUsed/>
    <w:rsid w:val="00695DD4"/>
    <w:pPr>
      <w:tabs>
        <w:tab w:val="center" w:pos="4536"/>
        <w:tab w:val="right" w:pos="9072"/>
      </w:tabs>
    </w:pPr>
  </w:style>
  <w:style w:type="character" w:customStyle="1" w:styleId="NagwekZnak">
    <w:name w:val="Nagłówek Znak"/>
    <w:basedOn w:val="Domylnaczcionkaakapitu"/>
    <w:link w:val="Nagwek"/>
    <w:uiPriority w:val="99"/>
    <w:semiHidden/>
    <w:rsid w:val="00695DD4"/>
    <w:rPr>
      <w:sz w:val="24"/>
      <w:szCs w:val="24"/>
      <w:lang w:val="en-GB"/>
    </w:rPr>
  </w:style>
  <w:style w:type="paragraph" w:styleId="Stopka">
    <w:name w:val="footer"/>
    <w:basedOn w:val="Normalny"/>
    <w:link w:val="StopkaZnak"/>
    <w:uiPriority w:val="99"/>
    <w:unhideWhenUsed/>
    <w:rsid w:val="00695DD4"/>
    <w:pPr>
      <w:tabs>
        <w:tab w:val="center" w:pos="4536"/>
        <w:tab w:val="right" w:pos="9072"/>
      </w:tabs>
    </w:pPr>
  </w:style>
  <w:style w:type="character" w:customStyle="1" w:styleId="StopkaZnak">
    <w:name w:val="Stopka Znak"/>
    <w:basedOn w:val="Domylnaczcionkaakapitu"/>
    <w:link w:val="Stopka"/>
    <w:uiPriority w:val="99"/>
    <w:rsid w:val="00695DD4"/>
    <w:rPr>
      <w:sz w:val="24"/>
      <w:szCs w:val="24"/>
      <w:lang w:val="en-GB"/>
    </w:rPr>
  </w:style>
  <w:style w:type="character" w:styleId="UyteHipercze">
    <w:name w:val="FollowedHyperlink"/>
    <w:basedOn w:val="Domylnaczcionkaakapitu"/>
    <w:uiPriority w:val="99"/>
    <w:semiHidden/>
    <w:unhideWhenUsed/>
    <w:rsid w:val="00B50F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ur.io/products/court-layer/" TargetMode="External"/><Relationship Id="rId1" Type="http://schemas.openxmlformats.org/officeDocument/2006/relationships/hyperlink" Target="https://bit.ly/jur-wp-v20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8DB4F-D0D1-4C8C-BB84-20202254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1379</Words>
  <Characters>8280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Rutkowski</dc:creator>
  <cp:keywords/>
  <dc:description/>
  <cp:lastModifiedBy>Monika Namysłowska</cp:lastModifiedBy>
  <cp:revision>396</cp:revision>
  <dcterms:created xsi:type="dcterms:W3CDTF">2022-01-17T13:39:00Z</dcterms:created>
  <dcterms:modified xsi:type="dcterms:W3CDTF">2022-02-04T18:34:00Z</dcterms:modified>
</cp:coreProperties>
</file>