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C8845" w14:textId="6281A5E9" w:rsidR="00D558A5" w:rsidRPr="000C3CB5" w:rsidRDefault="00D558A5" w:rsidP="00D558A5">
      <w:pPr>
        <w:rPr>
          <w:rFonts w:asciiTheme="majorBidi" w:hAnsiTheme="majorBidi" w:cstheme="majorBidi"/>
          <w:sz w:val="20"/>
          <w:szCs w:val="20"/>
        </w:rPr>
      </w:pPr>
      <w:r w:rsidRPr="000C3CB5">
        <w:rPr>
          <w:rFonts w:asciiTheme="majorBidi" w:hAnsiTheme="majorBidi" w:cstheme="majorBidi"/>
          <w:sz w:val="20"/>
          <w:szCs w:val="20"/>
          <w:lang w:bidi="en-US"/>
        </w:rPr>
        <w:t>Case ref. I C</w:t>
      </w:r>
      <w:r w:rsidR="002D40CE">
        <w:rPr>
          <w:rFonts w:asciiTheme="majorBidi" w:hAnsiTheme="majorBidi" w:cstheme="majorBidi"/>
          <w:sz w:val="20"/>
          <w:szCs w:val="20"/>
          <w:lang w:bidi="en-US"/>
        </w:rPr>
        <w:t> </w:t>
      </w:r>
      <w:r w:rsidRPr="000C3CB5">
        <w:rPr>
          <w:rFonts w:asciiTheme="majorBidi" w:hAnsiTheme="majorBidi" w:cstheme="majorBidi"/>
          <w:sz w:val="20"/>
          <w:szCs w:val="20"/>
          <w:lang w:bidi="en-US"/>
        </w:rPr>
        <w:t xml:space="preserve">223/22 </w:t>
      </w:r>
    </w:p>
    <w:p w14:paraId="7024A185" w14:textId="77777777" w:rsidR="000C3CB5" w:rsidRDefault="000C3CB5" w:rsidP="00D558A5">
      <w:pPr>
        <w:rPr>
          <w:rFonts w:asciiTheme="majorBidi" w:hAnsiTheme="majorBidi" w:cstheme="majorBidi"/>
        </w:rPr>
      </w:pPr>
    </w:p>
    <w:p w14:paraId="48555F15" w14:textId="77777777" w:rsidR="00D558A5" w:rsidRPr="005F22C3" w:rsidRDefault="00D558A5" w:rsidP="00D558A5">
      <w:pPr>
        <w:rPr>
          <w:rFonts w:asciiTheme="majorBidi" w:hAnsiTheme="majorBidi" w:cstheme="majorBidi"/>
        </w:rPr>
      </w:pPr>
      <w:r w:rsidRPr="005F22C3">
        <w:rPr>
          <w:rFonts w:asciiTheme="majorBidi" w:hAnsiTheme="majorBidi" w:cstheme="majorBidi"/>
          <w:noProof/>
          <w:lang w:bidi="en-US"/>
        </w:rPr>
        <w:drawing>
          <wp:anchor distT="0" distB="0" distL="114300" distR="114300" simplePos="0" relativeHeight="251659264" behindDoc="0" locked="0" layoutInCell="0" allowOverlap="1" wp14:anchorId="6D24BD15" wp14:editId="3576C95D">
            <wp:simplePos x="0" y="0"/>
            <wp:positionH relativeFrom="column">
              <wp:posOffset>2449122</wp:posOffset>
            </wp:positionH>
            <wp:positionV relativeFrom="paragraph">
              <wp:posOffset>89341</wp:posOffset>
            </wp:positionV>
            <wp:extent cx="547475" cy="547475"/>
            <wp:effectExtent l="0" t="0" r="5080" b="5080"/>
            <wp:wrapNone/>
            <wp:docPr id="2"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887" cy="549887"/>
                    </a:xfrm>
                    <a:prstGeom prst="rect">
                      <a:avLst/>
                    </a:prstGeom>
                    <a:noFill/>
                  </pic:spPr>
                </pic:pic>
              </a:graphicData>
            </a:graphic>
            <wp14:sizeRelH relativeFrom="page">
              <wp14:pctWidth>0</wp14:pctWidth>
            </wp14:sizeRelH>
            <wp14:sizeRelV relativeFrom="page">
              <wp14:pctHeight>0</wp14:pctHeight>
            </wp14:sizeRelV>
          </wp:anchor>
        </w:drawing>
      </w:r>
    </w:p>
    <w:p w14:paraId="0E2D7489" w14:textId="77777777" w:rsidR="00D558A5" w:rsidRPr="005F22C3" w:rsidRDefault="00D558A5" w:rsidP="00D558A5">
      <w:pPr>
        <w:rPr>
          <w:rFonts w:asciiTheme="majorBidi" w:hAnsiTheme="majorBidi" w:cstheme="majorBidi"/>
        </w:rPr>
      </w:pPr>
    </w:p>
    <w:p w14:paraId="00DC5F53" w14:textId="77777777" w:rsidR="00D558A5" w:rsidRPr="005F22C3" w:rsidRDefault="00D558A5" w:rsidP="00D558A5">
      <w:pPr>
        <w:rPr>
          <w:rFonts w:asciiTheme="majorBidi" w:hAnsiTheme="majorBidi" w:cstheme="majorBidi"/>
        </w:rPr>
      </w:pPr>
    </w:p>
    <w:p w14:paraId="2141A56E" w14:textId="77777777" w:rsidR="00D558A5" w:rsidRPr="005F22C3" w:rsidRDefault="00D558A5" w:rsidP="00D558A5">
      <w:pPr>
        <w:rPr>
          <w:rFonts w:asciiTheme="majorBidi" w:hAnsiTheme="majorBidi" w:cstheme="majorBidi"/>
        </w:rPr>
      </w:pPr>
    </w:p>
    <w:p w14:paraId="6E74423A" w14:textId="77777777" w:rsidR="00D558A5" w:rsidRDefault="00D558A5" w:rsidP="00D558A5">
      <w:pPr>
        <w:ind w:firstLine="708"/>
        <w:jc w:val="center"/>
        <w:rPr>
          <w:rFonts w:asciiTheme="majorBidi" w:hAnsiTheme="majorBidi" w:cstheme="majorBidi"/>
        </w:rPr>
      </w:pPr>
    </w:p>
    <w:p w14:paraId="7D1DAB88" w14:textId="77777777" w:rsidR="00D558A5" w:rsidRPr="00573EDB" w:rsidRDefault="00D558A5" w:rsidP="00D558A5">
      <w:pPr>
        <w:ind w:left="2832" w:firstLine="708"/>
        <w:rPr>
          <w:rFonts w:asciiTheme="majorBidi" w:hAnsiTheme="majorBidi" w:cstheme="majorBidi"/>
          <w:b/>
          <w:bCs/>
          <w:sz w:val="26"/>
          <w:szCs w:val="26"/>
        </w:rPr>
      </w:pPr>
      <w:r w:rsidRPr="00573EDB">
        <w:rPr>
          <w:rFonts w:asciiTheme="majorBidi" w:hAnsiTheme="majorBidi" w:cstheme="majorBidi"/>
          <w:b/>
          <w:sz w:val="26"/>
          <w:szCs w:val="26"/>
          <w:lang w:bidi="en-US"/>
        </w:rPr>
        <w:t xml:space="preserve">    JUDGMENT </w:t>
      </w:r>
    </w:p>
    <w:p w14:paraId="764A7DC2" w14:textId="77777777" w:rsidR="00D558A5" w:rsidRPr="000C3CB5" w:rsidRDefault="00D558A5" w:rsidP="00D558A5">
      <w:pPr>
        <w:ind w:left="708" w:firstLine="708"/>
        <w:rPr>
          <w:rFonts w:asciiTheme="majorBidi" w:hAnsiTheme="majorBidi" w:cstheme="majorBidi"/>
          <w:b/>
          <w:bCs/>
          <w:sz w:val="26"/>
          <w:szCs w:val="26"/>
        </w:rPr>
      </w:pPr>
      <w:r w:rsidRPr="00573EDB">
        <w:rPr>
          <w:rFonts w:asciiTheme="majorBidi" w:hAnsiTheme="majorBidi" w:cstheme="majorBidi"/>
          <w:b/>
          <w:sz w:val="26"/>
          <w:szCs w:val="26"/>
          <w:lang w:bidi="en-US"/>
        </w:rPr>
        <w:t>ON BEHALF OF THE REPUBLIC OF POLAND</w:t>
      </w:r>
    </w:p>
    <w:p w14:paraId="22C77756" w14:textId="77777777" w:rsidR="00D558A5" w:rsidRPr="00573EDB" w:rsidRDefault="00D558A5" w:rsidP="00D558A5">
      <w:pPr>
        <w:ind w:left="708" w:firstLine="708"/>
        <w:rPr>
          <w:rFonts w:asciiTheme="majorBidi" w:hAnsiTheme="majorBidi" w:cstheme="majorBidi"/>
          <w:b/>
          <w:bCs/>
          <w:sz w:val="22"/>
          <w:szCs w:val="22"/>
        </w:rPr>
      </w:pPr>
    </w:p>
    <w:p w14:paraId="5939DB75" w14:textId="77777777" w:rsidR="00D558A5" w:rsidRPr="00573EDB" w:rsidRDefault="00D558A5" w:rsidP="00D558A5">
      <w:pPr>
        <w:ind w:left="708" w:firstLine="708"/>
        <w:rPr>
          <w:rFonts w:asciiTheme="majorBidi" w:hAnsiTheme="majorBidi" w:cstheme="majorBidi"/>
          <w:b/>
          <w:bCs/>
          <w:sz w:val="22"/>
          <w:szCs w:val="22"/>
        </w:rPr>
      </w:pPr>
    </w:p>
    <w:p w14:paraId="1BA500B5" w14:textId="3C75047C" w:rsidR="00D558A5" w:rsidRPr="000C3CB5" w:rsidRDefault="00D558A5" w:rsidP="00D558A5">
      <w:pPr>
        <w:ind w:left="708" w:firstLine="708"/>
        <w:rPr>
          <w:rFonts w:asciiTheme="majorBidi" w:hAnsiTheme="majorBidi" w:cstheme="majorBidi"/>
          <w:sz w:val="20"/>
          <w:szCs w:val="20"/>
        </w:rPr>
      </w:pP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t>Date</w:t>
      </w:r>
      <w:r w:rsidR="002D40CE">
        <w:rPr>
          <w:rFonts w:asciiTheme="majorBidi" w:hAnsiTheme="majorBidi" w:cstheme="majorBidi"/>
          <w:sz w:val="20"/>
          <w:szCs w:val="20"/>
          <w:lang w:bidi="en-US"/>
        </w:rPr>
        <w:t> </w:t>
      </w:r>
      <w:r w:rsidRPr="000C3CB5">
        <w:rPr>
          <w:rFonts w:asciiTheme="majorBidi" w:hAnsiTheme="majorBidi" w:cstheme="majorBidi"/>
          <w:sz w:val="20"/>
          <w:szCs w:val="20"/>
          <w:lang w:bidi="en-US"/>
        </w:rPr>
        <w:t xml:space="preserve">24 March 2022 </w:t>
      </w:r>
    </w:p>
    <w:p w14:paraId="2418D421" w14:textId="77777777" w:rsidR="00D558A5" w:rsidRPr="000C3CB5" w:rsidRDefault="00D558A5" w:rsidP="00D558A5">
      <w:pPr>
        <w:rPr>
          <w:rFonts w:asciiTheme="majorBidi" w:hAnsiTheme="majorBidi" w:cstheme="majorBidi"/>
          <w:sz w:val="20"/>
          <w:szCs w:val="20"/>
        </w:rPr>
      </w:pP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p>
    <w:p w14:paraId="678ECE8D" w14:textId="77777777"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 xml:space="preserve">District Court in Łódź, I Civil Department, </w:t>
      </w:r>
    </w:p>
    <w:p w14:paraId="6C96EBE2" w14:textId="797F7C17"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composed of:</w:t>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t>District Court Judge Anna Wasiak</w:t>
      </w:r>
      <w:r w:rsidR="002D40CE">
        <w:rPr>
          <w:rFonts w:asciiTheme="majorBidi" w:hAnsiTheme="majorBidi" w:cstheme="majorBidi"/>
          <w:sz w:val="20"/>
          <w:szCs w:val="20"/>
          <w:lang w:bidi="en-US"/>
        </w:rPr>
        <w:t>—</w:t>
      </w:r>
      <w:r w:rsidRPr="000C3CB5">
        <w:rPr>
          <w:rFonts w:asciiTheme="majorBidi" w:hAnsiTheme="majorBidi" w:cstheme="majorBidi"/>
          <w:sz w:val="20"/>
          <w:szCs w:val="20"/>
          <w:lang w:bidi="en-US"/>
        </w:rPr>
        <w:t xml:space="preserve">chair </w:t>
      </w:r>
    </w:p>
    <w:p w14:paraId="74E4362F" w14:textId="77777777"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t>District Court Judge Bartłomiej Dziedzic (acting)</w:t>
      </w:r>
    </w:p>
    <w:p w14:paraId="71FF974B" w14:textId="77777777"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t>District Court Judge Jan Sobieraj (acting)</w:t>
      </w:r>
    </w:p>
    <w:p w14:paraId="755BF993" w14:textId="77777777" w:rsidR="00D558A5" w:rsidRPr="000C3CB5" w:rsidRDefault="00D558A5" w:rsidP="00D558A5">
      <w:pPr>
        <w:spacing w:line="360" w:lineRule="auto"/>
        <w:rPr>
          <w:rFonts w:asciiTheme="majorBidi" w:hAnsiTheme="majorBidi" w:cstheme="majorBidi"/>
          <w:sz w:val="20"/>
          <w:szCs w:val="20"/>
        </w:rPr>
      </w:pPr>
    </w:p>
    <w:p w14:paraId="64827ACE" w14:textId="77777777"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 xml:space="preserve">after the hearing on 24 March 2022 in Łódź, </w:t>
      </w:r>
    </w:p>
    <w:p w14:paraId="7CAE1B28" w14:textId="77777777"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 xml:space="preserve">at the hearing, </w:t>
      </w:r>
    </w:p>
    <w:p w14:paraId="3E54C411" w14:textId="77777777"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 xml:space="preserve">of the case brought by </w:t>
      </w:r>
      <w:r w:rsidRPr="000C3CB5">
        <w:rPr>
          <w:rFonts w:asciiTheme="majorBidi" w:hAnsiTheme="majorBidi" w:cstheme="majorBidi"/>
          <w:b/>
          <w:sz w:val="20"/>
          <w:szCs w:val="20"/>
          <w:lang w:bidi="en-US"/>
        </w:rPr>
        <w:t xml:space="preserve">Horace Munk </w:t>
      </w:r>
    </w:p>
    <w:p w14:paraId="54F2A7CD" w14:textId="77777777"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 xml:space="preserve">against: </w:t>
      </w:r>
      <w:r w:rsidRPr="000C3CB5">
        <w:rPr>
          <w:rFonts w:asciiTheme="majorBidi" w:hAnsiTheme="majorBidi" w:cstheme="majorBidi"/>
          <w:b/>
          <w:sz w:val="20"/>
          <w:szCs w:val="20"/>
          <w:lang w:bidi="en-US"/>
        </w:rPr>
        <w:t xml:space="preserve">The Star Maker Insurance </w:t>
      </w:r>
    </w:p>
    <w:p w14:paraId="7C1C4553" w14:textId="77777777" w:rsidR="00D558A5" w:rsidRPr="000C3CB5" w:rsidRDefault="00D558A5" w:rsidP="00D558A5">
      <w:pPr>
        <w:spacing w:line="360" w:lineRule="auto"/>
        <w:rPr>
          <w:rFonts w:asciiTheme="majorBidi" w:hAnsiTheme="majorBidi" w:cstheme="majorBidi"/>
          <w:sz w:val="20"/>
          <w:szCs w:val="20"/>
        </w:rPr>
      </w:pPr>
    </w:p>
    <w:p w14:paraId="639C89E5" w14:textId="77777777"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for annulment of the contract and payment:</w:t>
      </w:r>
    </w:p>
    <w:p w14:paraId="07630311" w14:textId="77777777" w:rsidR="00D558A5" w:rsidRPr="000C3CB5" w:rsidRDefault="00D558A5" w:rsidP="00D558A5">
      <w:pPr>
        <w:pStyle w:val="Paragraphedeliste"/>
        <w:numPr>
          <w:ilvl w:val="0"/>
          <w:numId w:val="1"/>
        </w:num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 xml:space="preserve">dismisses the claim in its entirety </w:t>
      </w:r>
    </w:p>
    <w:p w14:paraId="7C7953BA" w14:textId="77777777" w:rsidR="00D558A5" w:rsidRPr="000C3CB5" w:rsidRDefault="00D558A5" w:rsidP="00D558A5">
      <w:pPr>
        <w:pStyle w:val="Paragraphedeliste"/>
        <w:numPr>
          <w:ilvl w:val="0"/>
          <w:numId w:val="1"/>
        </w:numPr>
        <w:spacing w:line="360" w:lineRule="auto"/>
        <w:rPr>
          <w:sz w:val="20"/>
          <w:szCs w:val="20"/>
        </w:rPr>
      </w:pPr>
      <w:r w:rsidRPr="000C3CB5">
        <w:rPr>
          <w:rFonts w:asciiTheme="majorBidi" w:hAnsiTheme="majorBidi" w:cstheme="majorBidi"/>
          <w:sz w:val="20"/>
          <w:szCs w:val="20"/>
          <w:lang w:bidi="en-US"/>
        </w:rPr>
        <w:t>does not charge the claimant with the costs of the proceedings.</w:t>
      </w:r>
    </w:p>
    <w:p w14:paraId="558DFB62" w14:textId="77777777" w:rsidR="00D558A5" w:rsidRPr="00573EDB" w:rsidRDefault="00D558A5" w:rsidP="00D558A5">
      <w:pPr>
        <w:spacing w:line="360" w:lineRule="auto"/>
        <w:ind w:left="2124" w:firstLine="708"/>
        <w:jc w:val="both"/>
        <w:rPr>
          <w:rFonts w:asciiTheme="majorBidi" w:hAnsiTheme="majorBidi" w:cstheme="majorBidi"/>
          <w:sz w:val="22"/>
          <w:szCs w:val="22"/>
        </w:rPr>
      </w:pPr>
    </w:p>
    <w:p w14:paraId="42F1BF56" w14:textId="77777777" w:rsidR="000C3CB5" w:rsidRPr="000C3CB5" w:rsidRDefault="009A30D3" w:rsidP="000C3CB5">
      <w:pPr>
        <w:spacing w:after="120" w:line="276" w:lineRule="auto"/>
        <w:jc w:val="both"/>
        <w:rPr>
          <w:rFonts w:asciiTheme="majorBidi" w:hAnsiTheme="majorBidi" w:cstheme="majorBidi"/>
          <w:bCs/>
          <w:sz w:val="20"/>
          <w:szCs w:val="20"/>
        </w:rPr>
      </w:pPr>
      <w:r w:rsidRPr="000C3CB5">
        <w:rPr>
          <w:rFonts w:asciiTheme="majorBidi" w:hAnsiTheme="majorBidi" w:cstheme="majorBidi"/>
          <w:sz w:val="20"/>
          <w:szCs w:val="20"/>
          <w:lang w:bidi="en-US"/>
        </w:rPr>
        <w:t xml:space="preserve">The District Court found the plea of </w:t>
      </w:r>
      <w:r w:rsidRPr="000C3CB5">
        <w:rPr>
          <w:rFonts w:asciiTheme="majorBidi" w:hAnsiTheme="majorBidi" w:cstheme="majorBidi"/>
          <w:i/>
          <w:sz w:val="20"/>
          <w:szCs w:val="20"/>
          <w:lang w:bidi="en-US"/>
        </w:rPr>
        <w:t>res judicata</w:t>
      </w:r>
      <w:r w:rsidRPr="000C3CB5">
        <w:rPr>
          <w:rFonts w:asciiTheme="majorBidi" w:hAnsiTheme="majorBidi" w:cstheme="majorBidi"/>
          <w:sz w:val="20"/>
          <w:szCs w:val="20"/>
          <w:lang w:bidi="en-US"/>
        </w:rPr>
        <w:t xml:space="preserve"> raised by the defendant to be unfounded due to the failure to establish the enforceability of the arbitration award in separate proceedings. </w:t>
      </w:r>
    </w:p>
    <w:p w14:paraId="4F460CD3" w14:textId="6658F1BF" w:rsidR="000C3CB5" w:rsidRPr="000C3CB5" w:rsidRDefault="009A30D3" w:rsidP="000C3CB5">
      <w:pPr>
        <w:spacing w:after="120" w:line="276" w:lineRule="auto"/>
        <w:jc w:val="both"/>
        <w:rPr>
          <w:rFonts w:ascii="Times New Roman" w:eastAsia="Times New Roman" w:hAnsi="Times New Roman" w:cs="Times New Roman"/>
          <w:sz w:val="20"/>
          <w:szCs w:val="20"/>
        </w:rPr>
      </w:pPr>
      <w:r w:rsidRPr="000C3CB5">
        <w:rPr>
          <w:rFonts w:asciiTheme="majorBidi" w:hAnsiTheme="majorBidi" w:cstheme="majorBidi"/>
          <w:sz w:val="20"/>
          <w:szCs w:val="20"/>
          <w:lang w:bidi="en-US"/>
        </w:rPr>
        <w:t xml:space="preserve">It further held that the choice of English law for the arbitration clause </w:t>
      </w:r>
      <w:r w:rsidRPr="000C3CB5">
        <w:rPr>
          <w:rFonts w:ascii="Times New Roman" w:eastAsia="Times New Roman" w:hAnsi="Times New Roman" w:cs="Times New Roman"/>
          <w:sz w:val="20"/>
          <w:szCs w:val="20"/>
          <w:lang w:bidi="en-US"/>
        </w:rPr>
        <w:t>could not lead to depriving the consumer of the protection afforded to him by the provisions of Polish law implementing Council Directive</w:t>
      </w:r>
      <w:r w:rsidR="002D40CE">
        <w:rPr>
          <w:rFonts w:ascii="Times New Roman" w:eastAsia="Times New Roman" w:hAnsi="Times New Roman" w:cs="Times New Roman"/>
          <w:sz w:val="20"/>
          <w:szCs w:val="20"/>
          <w:lang w:bidi="en-US"/>
        </w:rPr>
        <w:t> </w:t>
      </w:r>
      <w:r w:rsidRPr="000C3CB5">
        <w:rPr>
          <w:rFonts w:ascii="Times New Roman" w:eastAsia="Times New Roman" w:hAnsi="Times New Roman" w:cs="Times New Roman"/>
          <w:sz w:val="20"/>
          <w:szCs w:val="20"/>
          <w:lang w:bidi="en-US"/>
        </w:rPr>
        <w:t>93/13/EEC of 05.04.1993 on unfair terms in consumer contracts pursuant to Article</w:t>
      </w:r>
      <w:r w:rsidR="002D40CE">
        <w:rPr>
          <w:rFonts w:ascii="Times New Roman" w:eastAsia="Times New Roman" w:hAnsi="Times New Roman" w:cs="Times New Roman"/>
          <w:sz w:val="20"/>
          <w:szCs w:val="20"/>
          <w:lang w:bidi="en-US"/>
        </w:rPr>
        <w:t> </w:t>
      </w:r>
      <w:r w:rsidRPr="000C3CB5">
        <w:rPr>
          <w:rFonts w:ascii="Times New Roman" w:eastAsia="Times New Roman" w:hAnsi="Times New Roman" w:cs="Times New Roman"/>
          <w:sz w:val="20"/>
          <w:szCs w:val="20"/>
          <w:lang w:bidi="en-US"/>
        </w:rPr>
        <w:t xml:space="preserve">30(1) of the Private International Law and, on this basis, considered the arbitration clause as an illicit contractual term not binding on the consumer. </w:t>
      </w:r>
    </w:p>
    <w:p w14:paraId="4D66D889" w14:textId="6EF15852" w:rsidR="000C3CB5" w:rsidRPr="000C3CB5" w:rsidRDefault="00632D19" w:rsidP="000C3CB5">
      <w:pPr>
        <w:spacing w:after="120" w:line="276" w:lineRule="auto"/>
        <w:jc w:val="both"/>
        <w:rPr>
          <w:rFonts w:asciiTheme="majorBidi" w:hAnsiTheme="majorBidi" w:cstheme="majorBidi"/>
          <w:sz w:val="20"/>
          <w:szCs w:val="20"/>
        </w:rPr>
      </w:pPr>
      <w:r>
        <w:rPr>
          <w:rFonts w:ascii="Times New Roman" w:eastAsia="Times New Roman" w:hAnsi="Times New Roman" w:cs="Times New Roman"/>
          <w:sz w:val="20"/>
          <w:szCs w:val="20"/>
          <w:lang w:bidi="en-US"/>
        </w:rPr>
        <w:t>The Court, taking into account the content of Article</w:t>
      </w:r>
      <w:r w:rsidR="002D40CE">
        <w:rPr>
          <w:rFonts w:ascii="Times New Roman" w:eastAsia="Times New Roman" w:hAnsi="Times New Roman" w:cs="Times New Roman"/>
          <w:sz w:val="20"/>
          <w:szCs w:val="20"/>
          <w:lang w:bidi="en-US"/>
        </w:rPr>
        <w:t> </w:t>
      </w:r>
      <w:r>
        <w:rPr>
          <w:rFonts w:ascii="Times New Roman" w:eastAsia="Times New Roman" w:hAnsi="Times New Roman" w:cs="Times New Roman"/>
          <w:sz w:val="20"/>
          <w:szCs w:val="20"/>
          <w:lang w:bidi="en-US"/>
        </w:rPr>
        <w:t>6 of the Act on Counteracting Unfair Market Practices (implementing Directive</w:t>
      </w:r>
      <w:r w:rsidR="002D40CE">
        <w:rPr>
          <w:rFonts w:ascii="Times New Roman" w:eastAsia="Times New Roman" w:hAnsi="Times New Roman" w:cs="Times New Roman"/>
          <w:sz w:val="20"/>
          <w:szCs w:val="20"/>
          <w:lang w:bidi="en-US"/>
        </w:rPr>
        <w:t> </w:t>
      </w:r>
      <w:r>
        <w:rPr>
          <w:rFonts w:ascii="Times New Roman" w:eastAsia="Times New Roman" w:hAnsi="Times New Roman" w:cs="Times New Roman"/>
          <w:sz w:val="20"/>
          <w:szCs w:val="20"/>
          <w:lang w:bidi="en-US"/>
        </w:rPr>
        <w:t xml:space="preserve">2005/29/EC of the European Parliament and of the Council), recognised the action of The Star Maker Insurance as an unfair market practice consisting in a </w:t>
      </w:r>
      <w:r w:rsidR="00496A5A" w:rsidRPr="000C3CB5">
        <w:rPr>
          <w:rFonts w:asciiTheme="majorBidi" w:hAnsiTheme="majorBidi" w:cstheme="majorBidi"/>
          <w:sz w:val="20"/>
          <w:szCs w:val="20"/>
          <w:lang w:bidi="en-US"/>
        </w:rPr>
        <w:t>misleading omission by omitting important information necessary for the average consumer to take a decision concerning a contract. However, it did not award the compensation requested by the consumer on the grounds that one of the prerequisites for liability for damages</w:t>
      </w:r>
      <w:r w:rsidR="002D40CE">
        <w:rPr>
          <w:rFonts w:asciiTheme="majorBidi" w:hAnsiTheme="majorBidi" w:cstheme="majorBidi"/>
          <w:sz w:val="20"/>
          <w:szCs w:val="20"/>
          <w:lang w:bidi="en-US"/>
        </w:rPr>
        <w:t>—</w:t>
      </w:r>
      <w:r w:rsidR="00496A5A" w:rsidRPr="000C3CB5">
        <w:rPr>
          <w:rFonts w:asciiTheme="majorBidi" w:hAnsiTheme="majorBidi" w:cstheme="majorBidi"/>
          <w:sz w:val="20"/>
          <w:szCs w:val="20"/>
          <w:lang w:bidi="en-US"/>
        </w:rPr>
        <w:t>a causal link between the defendant</w:t>
      </w:r>
      <w:r w:rsidR="002D40CE">
        <w:rPr>
          <w:rFonts w:asciiTheme="majorBidi" w:hAnsiTheme="majorBidi" w:cstheme="majorBidi"/>
          <w:sz w:val="20"/>
          <w:szCs w:val="20"/>
          <w:lang w:bidi="en-US"/>
        </w:rPr>
        <w:t>’</w:t>
      </w:r>
      <w:r w:rsidR="00496A5A" w:rsidRPr="000C3CB5">
        <w:rPr>
          <w:rFonts w:asciiTheme="majorBidi" w:hAnsiTheme="majorBidi" w:cstheme="majorBidi"/>
          <w:sz w:val="20"/>
          <w:szCs w:val="20"/>
          <w:lang w:bidi="en-US"/>
        </w:rPr>
        <w:t>s conduct and the damage suffered by the consumer</w:t>
      </w:r>
      <w:r w:rsidR="002D40CE">
        <w:rPr>
          <w:rFonts w:asciiTheme="majorBidi" w:hAnsiTheme="majorBidi" w:cstheme="majorBidi"/>
          <w:sz w:val="20"/>
          <w:szCs w:val="20"/>
          <w:lang w:bidi="en-US"/>
        </w:rPr>
        <w:t>—</w:t>
      </w:r>
      <w:r w:rsidR="00496A5A" w:rsidRPr="000C3CB5">
        <w:rPr>
          <w:rFonts w:asciiTheme="majorBidi" w:hAnsiTheme="majorBidi" w:cstheme="majorBidi"/>
          <w:sz w:val="20"/>
          <w:szCs w:val="20"/>
          <w:lang w:bidi="en-US"/>
        </w:rPr>
        <w:t xml:space="preserve">had not been demonstrated. </w:t>
      </w:r>
    </w:p>
    <w:p w14:paraId="7D8DF075" w14:textId="77777777" w:rsidR="009A30D3" w:rsidRPr="000C3CB5" w:rsidRDefault="00AF7559" w:rsidP="000C3CB5">
      <w:pPr>
        <w:spacing w:after="120" w:line="276" w:lineRule="auto"/>
        <w:jc w:val="both"/>
        <w:rPr>
          <w:rFonts w:asciiTheme="majorBidi" w:hAnsiTheme="majorBidi" w:cstheme="majorBidi"/>
          <w:bCs/>
          <w:sz w:val="20"/>
          <w:szCs w:val="20"/>
        </w:rPr>
      </w:pPr>
      <w:r w:rsidRPr="000C3CB5">
        <w:rPr>
          <w:rFonts w:asciiTheme="majorBidi" w:hAnsiTheme="majorBidi" w:cstheme="majorBidi"/>
          <w:sz w:val="20"/>
          <w:szCs w:val="20"/>
          <w:lang w:bidi="en-US"/>
        </w:rPr>
        <w:t>The Court did not consider the data processed by the Defendant to be sensitive health data and did not see any breach of the processing of personal data in the Defendant’s actions (the Claimant, however, did not claim damages under GDPR).</w:t>
      </w:r>
    </w:p>
    <w:p w14:paraId="494EBFE6" w14:textId="77777777" w:rsidR="006A0D06" w:rsidRPr="000C3CB5" w:rsidRDefault="006A0D06">
      <w:pPr>
        <w:rPr>
          <w:sz w:val="20"/>
          <w:szCs w:val="20"/>
        </w:rPr>
      </w:pPr>
    </w:p>
    <w:sectPr w:rsidR="006A0D06" w:rsidRPr="000C3C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CAF4" w14:textId="77777777" w:rsidR="00676748" w:rsidRDefault="00676748" w:rsidP="00573EDB">
      <w:r>
        <w:separator/>
      </w:r>
    </w:p>
  </w:endnote>
  <w:endnote w:type="continuationSeparator" w:id="0">
    <w:p w14:paraId="4D202136" w14:textId="77777777" w:rsidR="00676748" w:rsidRDefault="00676748" w:rsidP="0057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B396" w14:textId="77777777" w:rsidR="00676748" w:rsidRDefault="00676748" w:rsidP="00573EDB">
      <w:r>
        <w:separator/>
      </w:r>
    </w:p>
  </w:footnote>
  <w:footnote w:type="continuationSeparator" w:id="0">
    <w:p w14:paraId="6B21F168" w14:textId="77777777" w:rsidR="00676748" w:rsidRDefault="00676748" w:rsidP="00573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378D2"/>
    <w:multiLevelType w:val="hybridMultilevel"/>
    <w:tmpl w:val="C11A74FC"/>
    <w:lvl w:ilvl="0" w:tplc="5358D842">
      <w:start w:val="1"/>
      <w:numFmt w:val="upperRoman"/>
      <w:lvlText w:val="%1."/>
      <w:lvlJc w:val="left"/>
      <w:pPr>
        <w:ind w:left="1080" w:hanging="72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414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8A5"/>
    <w:rsid w:val="000671C1"/>
    <w:rsid w:val="000C3CB5"/>
    <w:rsid w:val="002D40CE"/>
    <w:rsid w:val="00496A5A"/>
    <w:rsid w:val="00521931"/>
    <w:rsid w:val="00573EDB"/>
    <w:rsid w:val="005B36B8"/>
    <w:rsid w:val="00632D19"/>
    <w:rsid w:val="00676748"/>
    <w:rsid w:val="006A0D06"/>
    <w:rsid w:val="008A2B23"/>
    <w:rsid w:val="009A30D3"/>
    <w:rsid w:val="00A562AD"/>
    <w:rsid w:val="00A930C0"/>
    <w:rsid w:val="00AE1DBD"/>
    <w:rsid w:val="00AF7559"/>
    <w:rsid w:val="00BD4153"/>
    <w:rsid w:val="00C65170"/>
    <w:rsid w:val="00D05D9F"/>
    <w:rsid w:val="00D558A5"/>
    <w:rsid w:val="00D93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25C9"/>
  <w15:docId w15:val="{856B1992-2260-4476-AE0E-C9F59076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8A5"/>
    <w:pPr>
      <w:spacing w:after="0" w:line="240" w:lineRule="auto"/>
    </w:pPr>
    <w:rPr>
      <w:rFonts w:eastAsiaTheme="minorEastAsia"/>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93992"/>
    <w:rPr>
      <w:rFonts w:ascii="Times New Roman" w:hAnsi="Times New Roman"/>
      <w:sz w:val="20"/>
      <w:szCs w:val="20"/>
    </w:rPr>
  </w:style>
  <w:style w:type="character" w:customStyle="1" w:styleId="NotedebasdepageCar">
    <w:name w:val="Note de bas de page Car"/>
    <w:basedOn w:val="Policepardfaut"/>
    <w:link w:val="Notedebasdepage"/>
    <w:uiPriority w:val="99"/>
    <w:semiHidden/>
    <w:rsid w:val="00D93992"/>
    <w:rPr>
      <w:rFonts w:ascii="Times New Roman" w:hAnsi="Times New Roman"/>
      <w:sz w:val="20"/>
      <w:szCs w:val="20"/>
    </w:rPr>
  </w:style>
  <w:style w:type="paragraph" w:styleId="Paragraphedeliste">
    <w:name w:val="List Paragraph"/>
    <w:basedOn w:val="Normal"/>
    <w:uiPriority w:val="34"/>
    <w:qFormat/>
    <w:rsid w:val="00D558A5"/>
    <w:pPr>
      <w:ind w:left="720"/>
      <w:contextualSpacing/>
    </w:pPr>
  </w:style>
  <w:style w:type="paragraph" w:styleId="Notedefin">
    <w:name w:val="endnote text"/>
    <w:basedOn w:val="Normal"/>
    <w:link w:val="NotedefinCar"/>
    <w:uiPriority w:val="99"/>
    <w:semiHidden/>
    <w:unhideWhenUsed/>
    <w:rsid w:val="00573EDB"/>
    <w:rPr>
      <w:sz w:val="20"/>
      <w:szCs w:val="20"/>
    </w:rPr>
  </w:style>
  <w:style w:type="character" w:customStyle="1" w:styleId="NotedefinCar">
    <w:name w:val="Note de fin Car"/>
    <w:basedOn w:val="Policepardfaut"/>
    <w:link w:val="Notedefin"/>
    <w:uiPriority w:val="99"/>
    <w:semiHidden/>
    <w:rsid w:val="00573EDB"/>
    <w:rPr>
      <w:rFonts w:eastAsiaTheme="minorEastAsia"/>
      <w:sz w:val="20"/>
      <w:szCs w:val="20"/>
      <w:lang w:eastAsia="zh-CN"/>
    </w:rPr>
  </w:style>
  <w:style w:type="character" w:styleId="Appeldenotedefin">
    <w:name w:val="endnote reference"/>
    <w:basedOn w:val="Policepardfaut"/>
    <w:uiPriority w:val="99"/>
    <w:semiHidden/>
    <w:unhideWhenUsed/>
    <w:rsid w:val="00573EDB"/>
    <w:rPr>
      <w:vertAlign w:val="superscript"/>
    </w:rPr>
  </w:style>
  <w:style w:type="paragraph" w:styleId="En-tte">
    <w:name w:val="header"/>
    <w:basedOn w:val="Normal"/>
    <w:link w:val="En-tteCar"/>
    <w:uiPriority w:val="99"/>
    <w:unhideWhenUsed/>
    <w:rsid w:val="005B36B8"/>
    <w:pPr>
      <w:tabs>
        <w:tab w:val="center" w:pos="4536"/>
        <w:tab w:val="right" w:pos="9072"/>
      </w:tabs>
    </w:pPr>
  </w:style>
  <w:style w:type="character" w:customStyle="1" w:styleId="En-tteCar">
    <w:name w:val="En-tête Car"/>
    <w:basedOn w:val="Policepardfaut"/>
    <w:link w:val="En-tte"/>
    <w:uiPriority w:val="99"/>
    <w:rsid w:val="005B36B8"/>
    <w:rPr>
      <w:rFonts w:eastAsiaTheme="minorEastAsia"/>
      <w:sz w:val="24"/>
      <w:szCs w:val="24"/>
      <w:lang w:eastAsia="zh-CN"/>
    </w:rPr>
  </w:style>
  <w:style w:type="paragraph" w:styleId="Pieddepage">
    <w:name w:val="footer"/>
    <w:basedOn w:val="Normal"/>
    <w:link w:val="PieddepageCar"/>
    <w:uiPriority w:val="99"/>
    <w:unhideWhenUsed/>
    <w:rsid w:val="005B36B8"/>
    <w:pPr>
      <w:tabs>
        <w:tab w:val="center" w:pos="4536"/>
        <w:tab w:val="right" w:pos="9072"/>
      </w:tabs>
    </w:pPr>
  </w:style>
  <w:style w:type="character" w:customStyle="1" w:styleId="PieddepageCar">
    <w:name w:val="Pied de page Car"/>
    <w:basedOn w:val="Policepardfaut"/>
    <w:link w:val="Pieddepage"/>
    <w:uiPriority w:val="99"/>
    <w:rsid w:val="005B36B8"/>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1811</Characters>
  <Application>Microsoft Office Word</Application>
  <DocSecurity>0</DocSecurity>
  <Lines>15</Lines>
  <Paragraphs>4</Paragraphs>
  <ScaleCrop>false</ScaleCrop>
  <HeadingPairs>
    <vt:vector size="4" baseType="variant">
      <vt:variant>
        <vt:lpstr>Titre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Bartek</dc:creator>
  <cp:lastModifiedBy>Garry HUTTON</cp:lastModifiedBy>
  <cp:revision>2</cp:revision>
  <dcterms:created xsi:type="dcterms:W3CDTF">2022-05-30T13:31:00Z</dcterms:created>
  <dcterms:modified xsi:type="dcterms:W3CDTF">2022-05-30T13:31:00Z</dcterms:modified>
</cp:coreProperties>
</file>